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593" w:rsidRDefault="005F1593">
      <w:pPr>
        <w:spacing w:line="300" w:lineRule="auto"/>
        <w:jc w:val="center"/>
        <w:rPr>
          <w:color w:val="000000" w:themeColor="text1"/>
          <w:sz w:val="32"/>
          <w:szCs w:val="36"/>
        </w:rPr>
      </w:pPr>
    </w:p>
    <w:p w:rsidR="005F1593" w:rsidRDefault="005F1593">
      <w:pPr>
        <w:spacing w:line="300" w:lineRule="auto"/>
        <w:jc w:val="center"/>
        <w:rPr>
          <w:color w:val="000000" w:themeColor="text1"/>
          <w:sz w:val="32"/>
          <w:szCs w:val="36"/>
        </w:rPr>
      </w:pPr>
    </w:p>
    <w:p w:rsidR="005F1593" w:rsidRDefault="005F1593">
      <w:pPr>
        <w:spacing w:line="300" w:lineRule="auto"/>
        <w:jc w:val="center"/>
        <w:rPr>
          <w:color w:val="000000" w:themeColor="text1"/>
          <w:sz w:val="32"/>
          <w:szCs w:val="36"/>
        </w:rPr>
      </w:pPr>
    </w:p>
    <w:p w:rsidR="005F1593" w:rsidRDefault="005F1593">
      <w:pPr>
        <w:spacing w:line="300" w:lineRule="auto"/>
        <w:jc w:val="center"/>
        <w:rPr>
          <w:color w:val="000000" w:themeColor="text1"/>
          <w:sz w:val="32"/>
          <w:szCs w:val="36"/>
        </w:rPr>
      </w:pPr>
    </w:p>
    <w:p w:rsidR="005F1593" w:rsidRDefault="005F1593">
      <w:pPr>
        <w:spacing w:line="300" w:lineRule="auto"/>
        <w:jc w:val="center"/>
        <w:rPr>
          <w:color w:val="000000" w:themeColor="text1"/>
          <w:sz w:val="32"/>
          <w:szCs w:val="36"/>
        </w:rPr>
      </w:pPr>
    </w:p>
    <w:p w:rsidR="005F1593" w:rsidRDefault="005F1593">
      <w:pPr>
        <w:spacing w:line="300" w:lineRule="auto"/>
        <w:jc w:val="center"/>
        <w:rPr>
          <w:color w:val="000000" w:themeColor="text1"/>
          <w:sz w:val="32"/>
          <w:szCs w:val="36"/>
        </w:rPr>
      </w:pPr>
    </w:p>
    <w:p w:rsidR="005F1593" w:rsidRDefault="00F54415">
      <w:pPr>
        <w:spacing w:line="300" w:lineRule="auto"/>
        <w:jc w:val="center"/>
        <w:rPr>
          <w:rFonts w:ascii="黑体" w:eastAsia="黑体" w:hAnsi="黑体" w:cs="黑体"/>
          <w:b/>
          <w:bCs/>
          <w:color w:val="000000" w:themeColor="text1"/>
          <w:sz w:val="52"/>
          <w:szCs w:val="52"/>
        </w:rPr>
      </w:pPr>
      <w:r>
        <w:rPr>
          <w:rFonts w:ascii="黑体" w:eastAsia="黑体" w:hAnsi="黑体" w:cs="黑体" w:hint="eastAsia"/>
          <w:b/>
          <w:bCs/>
          <w:color w:val="000000" w:themeColor="text1"/>
          <w:sz w:val="52"/>
          <w:szCs w:val="52"/>
        </w:rPr>
        <w:t>数字展会建设规范</w:t>
      </w:r>
    </w:p>
    <w:p w:rsidR="005F1593" w:rsidRDefault="00F54415">
      <w:pPr>
        <w:spacing w:line="300" w:lineRule="auto"/>
        <w:jc w:val="center"/>
        <w:rPr>
          <w:rFonts w:ascii="黑体" w:eastAsia="黑体" w:hAnsi="黑体" w:cs="黑体"/>
          <w:b/>
          <w:bCs/>
          <w:color w:val="000000" w:themeColor="text1"/>
          <w:sz w:val="52"/>
          <w:szCs w:val="52"/>
        </w:rPr>
      </w:pPr>
      <w:r>
        <w:rPr>
          <w:rFonts w:ascii="黑体" w:eastAsia="黑体" w:hAnsi="黑体" w:cs="黑体" w:hint="eastAsia"/>
          <w:b/>
          <w:bCs/>
          <w:color w:val="000000" w:themeColor="text1"/>
          <w:sz w:val="52"/>
          <w:szCs w:val="52"/>
        </w:rPr>
        <w:t>（</w:t>
      </w:r>
      <w:r w:rsidR="004B7793">
        <w:rPr>
          <w:rFonts w:ascii="黑体" w:eastAsia="黑体" w:hAnsi="黑体" w:cs="黑体" w:hint="eastAsia"/>
          <w:b/>
          <w:bCs/>
          <w:color w:val="000000" w:themeColor="text1"/>
          <w:sz w:val="52"/>
          <w:szCs w:val="52"/>
        </w:rPr>
        <w:t>征求意见稿</w:t>
      </w:r>
      <w:r>
        <w:rPr>
          <w:rFonts w:ascii="黑体" w:eastAsia="黑体" w:hAnsi="黑体" w:cs="黑体" w:hint="eastAsia"/>
          <w:b/>
          <w:bCs/>
          <w:color w:val="000000" w:themeColor="text1"/>
          <w:sz w:val="52"/>
          <w:szCs w:val="52"/>
        </w:rPr>
        <w:t>）</w:t>
      </w:r>
    </w:p>
    <w:p w:rsidR="005F1593" w:rsidRDefault="005F1593">
      <w:pPr>
        <w:spacing w:line="300" w:lineRule="auto"/>
        <w:rPr>
          <w:color w:val="000000" w:themeColor="text1"/>
          <w:spacing w:val="320"/>
        </w:rPr>
      </w:pPr>
      <w:bookmarkStart w:id="0" w:name="_Toc120522300"/>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5F1593">
      <w:pPr>
        <w:spacing w:line="300" w:lineRule="auto"/>
        <w:rPr>
          <w:color w:val="000000" w:themeColor="text1"/>
          <w:spacing w:val="320"/>
        </w:rPr>
      </w:pPr>
    </w:p>
    <w:p w:rsidR="005F1593" w:rsidRDefault="00F54415">
      <w:pPr>
        <w:pStyle w:val="a"/>
        <w:spacing w:after="468" w:line="300" w:lineRule="auto"/>
        <w:rPr>
          <w:color w:val="000000" w:themeColor="text1"/>
        </w:rPr>
      </w:pPr>
      <w:r>
        <w:rPr>
          <w:color w:val="000000" w:themeColor="text1"/>
          <w:spacing w:val="320"/>
        </w:rPr>
        <w:lastRenderedPageBreak/>
        <w:t>前</w:t>
      </w:r>
      <w:r>
        <w:rPr>
          <w:color w:val="000000" w:themeColor="text1"/>
        </w:rPr>
        <w:t>言</w:t>
      </w:r>
      <w:bookmarkEnd w:id="0"/>
    </w:p>
    <w:p w:rsidR="005F1593" w:rsidRDefault="00F54415">
      <w:pPr>
        <w:widowControl/>
        <w:kinsoku w:val="0"/>
        <w:autoSpaceDE w:val="0"/>
        <w:autoSpaceDN w:val="0"/>
        <w:adjustRightInd w:val="0"/>
        <w:snapToGrid w:val="0"/>
        <w:spacing w:line="360" w:lineRule="auto"/>
        <w:ind w:firstLineChars="200" w:firstLine="384"/>
        <w:textAlignment w:val="baseline"/>
        <w:rPr>
          <w:rFonts w:ascii="宋体" w:eastAsia="宋体" w:hAnsi="宋体" w:cs="宋体"/>
          <w:snapToGrid w:val="0"/>
          <w:color w:val="000000"/>
          <w:spacing w:val="-9"/>
          <w:kern w:val="0"/>
          <w:szCs w:val="21"/>
        </w:rPr>
      </w:pPr>
      <w:r>
        <w:rPr>
          <w:rFonts w:ascii="宋体" w:eastAsia="宋体" w:hAnsi="宋体" w:cs="宋体"/>
          <w:snapToGrid w:val="0"/>
          <w:color w:val="000000"/>
          <w:spacing w:val="-9"/>
          <w:kern w:val="0"/>
          <w:szCs w:val="21"/>
        </w:rPr>
        <w:t>本标准按照</w:t>
      </w:r>
      <w:r>
        <w:rPr>
          <w:rFonts w:ascii="宋体" w:eastAsia="宋体" w:hAnsi="宋体" w:cs="宋体"/>
          <w:snapToGrid w:val="0"/>
          <w:color w:val="000000"/>
          <w:spacing w:val="-9"/>
          <w:kern w:val="0"/>
          <w:szCs w:val="21"/>
        </w:rPr>
        <w:t>GB/T 1.1</w:t>
      </w:r>
      <w:r>
        <w:rPr>
          <w:rFonts w:ascii="宋体" w:eastAsia="宋体" w:hAnsi="宋体" w:cs="宋体" w:hint="eastAsia"/>
          <w:snapToGrid w:val="0"/>
          <w:color w:val="000000"/>
          <w:spacing w:val="-9"/>
          <w:kern w:val="0"/>
          <w:szCs w:val="21"/>
        </w:rPr>
        <w:t>-</w:t>
      </w:r>
      <w:r>
        <w:rPr>
          <w:rFonts w:ascii="宋体" w:eastAsia="宋体" w:hAnsi="宋体" w:cs="宋体"/>
          <w:snapToGrid w:val="0"/>
          <w:color w:val="000000"/>
          <w:spacing w:val="-9"/>
          <w:kern w:val="0"/>
          <w:szCs w:val="21"/>
        </w:rPr>
        <w:t>2020</w:t>
      </w:r>
      <w:r>
        <w:rPr>
          <w:rFonts w:ascii="宋体" w:eastAsia="宋体" w:hAnsi="宋体" w:cs="宋体"/>
          <w:snapToGrid w:val="0"/>
          <w:color w:val="000000"/>
          <w:spacing w:val="-9"/>
          <w:kern w:val="0"/>
          <w:szCs w:val="21"/>
        </w:rPr>
        <w:t>给出的规则起草。</w:t>
      </w:r>
    </w:p>
    <w:p w:rsidR="005F1593" w:rsidRDefault="00F54415">
      <w:pPr>
        <w:widowControl/>
        <w:kinsoku w:val="0"/>
        <w:autoSpaceDE w:val="0"/>
        <w:autoSpaceDN w:val="0"/>
        <w:adjustRightInd w:val="0"/>
        <w:snapToGrid w:val="0"/>
        <w:spacing w:line="360" w:lineRule="auto"/>
        <w:ind w:firstLineChars="200" w:firstLine="384"/>
        <w:textAlignment w:val="baseline"/>
        <w:rPr>
          <w:rFonts w:ascii="宋体" w:eastAsia="宋体" w:hAnsi="宋体" w:cs="宋体"/>
          <w:snapToGrid w:val="0"/>
          <w:color w:val="000000"/>
          <w:spacing w:val="-9"/>
          <w:kern w:val="0"/>
          <w:szCs w:val="21"/>
        </w:rPr>
      </w:pPr>
      <w:r>
        <w:rPr>
          <w:rFonts w:ascii="宋体" w:eastAsia="宋体" w:hAnsi="宋体" w:cs="宋体"/>
          <w:snapToGrid w:val="0"/>
          <w:color w:val="000000"/>
          <w:spacing w:val="-9"/>
          <w:kern w:val="0"/>
          <w:szCs w:val="21"/>
        </w:rPr>
        <w:t>本标准由辽宁省商务</w:t>
      </w:r>
      <w:r>
        <w:rPr>
          <w:rFonts w:ascii="宋体" w:eastAsia="宋体" w:hAnsi="宋体" w:cs="宋体" w:hint="eastAsia"/>
          <w:snapToGrid w:val="0"/>
          <w:color w:val="000000"/>
          <w:spacing w:val="-9"/>
          <w:kern w:val="0"/>
          <w:szCs w:val="21"/>
        </w:rPr>
        <w:t>厅</w:t>
      </w:r>
      <w:r>
        <w:rPr>
          <w:rFonts w:ascii="宋体" w:eastAsia="宋体" w:hAnsi="宋体" w:cs="宋体"/>
          <w:snapToGrid w:val="0"/>
          <w:color w:val="000000"/>
          <w:spacing w:val="-9"/>
          <w:kern w:val="0"/>
          <w:szCs w:val="21"/>
        </w:rPr>
        <w:t>提出并归口。</w:t>
      </w:r>
    </w:p>
    <w:p w:rsidR="005F1593" w:rsidRDefault="00F54415">
      <w:pPr>
        <w:widowControl/>
        <w:kinsoku w:val="0"/>
        <w:autoSpaceDE w:val="0"/>
        <w:autoSpaceDN w:val="0"/>
        <w:adjustRightInd w:val="0"/>
        <w:snapToGrid w:val="0"/>
        <w:spacing w:line="360" w:lineRule="auto"/>
        <w:ind w:firstLineChars="200" w:firstLine="384"/>
        <w:textAlignment w:val="baseline"/>
        <w:rPr>
          <w:rFonts w:ascii="宋体" w:eastAsia="宋体" w:hAnsi="宋体" w:cs="宋体"/>
          <w:snapToGrid w:val="0"/>
          <w:color w:val="000000"/>
          <w:spacing w:val="-9"/>
          <w:kern w:val="0"/>
          <w:szCs w:val="21"/>
        </w:rPr>
      </w:pPr>
      <w:r>
        <w:rPr>
          <w:rFonts w:ascii="宋体" w:eastAsia="宋体" w:hAnsi="宋体" w:cs="宋体"/>
          <w:snapToGrid w:val="0"/>
          <w:color w:val="000000"/>
          <w:spacing w:val="-9"/>
          <w:kern w:val="0"/>
          <w:szCs w:val="21"/>
        </w:rPr>
        <w:t>本标准主要起草单位：</w:t>
      </w:r>
      <w:bookmarkStart w:id="1" w:name="_Hlk120518998"/>
      <w:r>
        <w:rPr>
          <w:rFonts w:ascii="宋体" w:eastAsia="宋体" w:hAnsi="宋体" w:cs="宋体"/>
          <w:snapToGrid w:val="0"/>
          <w:color w:val="000000"/>
          <w:spacing w:val="-9"/>
          <w:kern w:val="0"/>
          <w:szCs w:val="21"/>
        </w:rPr>
        <w:t>辽宁对外经贸学院</w:t>
      </w:r>
      <w:bookmarkEnd w:id="1"/>
      <w:r>
        <w:rPr>
          <w:rFonts w:ascii="宋体" w:eastAsia="宋体" w:hAnsi="宋体" w:cs="宋体"/>
          <w:snapToGrid w:val="0"/>
          <w:color w:val="000000"/>
          <w:spacing w:val="-9"/>
          <w:kern w:val="0"/>
          <w:szCs w:val="21"/>
        </w:rPr>
        <w:t>、辽宁省会议展览业协会。</w:t>
      </w:r>
    </w:p>
    <w:p w:rsidR="005F1593" w:rsidRDefault="00F54415">
      <w:pPr>
        <w:widowControl/>
        <w:kinsoku w:val="0"/>
        <w:autoSpaceDE w:val="0"/>
        <w:autoSpaceDN w:val="0"/>
        <w:adjustRightInd w:val="0"/>
        <w:snapToGrid w:val="0"/>
        <w:spacing w:line="360" w:lineRule="auto"/>
        <w:ind w:firstLineChars="200" w:firstLine="384"/>
        <w:textAlignment w:val="baseline"/>
        <w:rPr>
          <w:rFonts w:ascii="宋体" w:eastAsia="宋体" w:hAnsi="宋体" w:cs="宋体"/>
          <w:snapToGrid w:val="0"/>
          <w:color w:val="000000"/>
          <w:spacing w:val="-9"/>
          <w:kern w:val="0"/>
          <w:szCs w:val="21"/>
        </w:rPr>
      </w:pPr>
      <w:r>
        <w:rPr>
          <w:rFonts w:ascii="宋体" w:eastAsia="宋体" w:hAnsi="宋体" w:cs="宋体"/>
          <w:snapToGrid w:val="0"/>
          <w:color w:val="000000"/>
          <w:spacing w:val="-9"/>
          <w:kern w:val="0"/>
          <w:szCs w:val="21"/>
        </w:rPr>
        <w:t>本标准主要起草人：高欣、陶树丰、伊捷民、佟辰、杨松、刘志友、王冬梅、李沛澎、王晨雨、李明、冯春田、李刚、江百惠。</w:t>
      </w:r>
    </w:p>
    <w:p w:rsidR="005F1593" w:rsidRDefault="005F1593">
      <w:pPr>
        <w:pStyle w:val="afd"/>
        <w:spacing w:beforeLines="1" w:before="3" w:afterLines="220" w:after="686"/>
        <w:rPr>
          <w:color w:val="000000" w:themeColor="text1"/>
        </w:rPr>
        <w:sectPr w:rsidR="005F1593">
          <w:footerReference w:type="default" r:id="rId9"/>
          <w:pgSz w:w="11906" w:h="16838"/>
          <w:pgMar w:top="1440" w:right="1800" w:bottom="1440" w:left="1800" w:header="851" w:footer="992" w:gutter="0"/>
          <w:pgNumType w:start="1"/>
          <w:cols w:space="425"/>
          <w:docGrid w:type="lines" w:linePitch="312"/>
        </w:sectPr>
      </w:pPr>
    </w:p>
    <w:p w:rsidR="005F1593" w:rsidRDefault="00F54415">
      <w:pPr>
        <w:pStyle w:val="afd"/>
        <w:spacing w:beforeLines="1" w:before="3" w:afterLines="220" w:after="686"/>
        <w:rPr>
          <w:b/>
          <w:bCs/>
          <w:color w:val="000000" w:themeColor="text1"/>
        </w:rPr>
      </w:pPr>
      <w:r>
        <w:rPr>
          <w:rFonts w:hint="eastAsia"/>
          <w:b/>
          <w:bCs/>
          <w:color w:val="000000" w:themeColor="text1"/>
        </w:rPr>
        <w:lastRenderedPageBreak/>
        <w:t>数字展会建设规范（</w:t>
      </w:r>
      <w:r w:rsidR="00AC19A2">
        <w:rPr>
          <w:rFonts w:hint="eastAsia"/>
          <w:b/>
          <w:bCs/>
          <w:color w:val="000000" w:themeColor="text1"/>
        </w:rPr>
        <w:t>征求意见稿</w:t>
      </w:r>
      <w:bookmarkStart w:id="2" w:name="_GoBack"/>
      <w:bookmarkEnd w:id="2"/>
      <w:r>
        <w:rPr>
          <w:rFonts w:hint="eastAsia"/>
          <w:b/>
          <w:bCs/>
          <w:color w:val="000000" w:themeColor="text1"/>
        </w:rPr>
        <w:t>）</w:t>
      </w:r>
    </w:p>
    <w:p w:rsidR="005F1593" w:rsidRDefault="00F54415">
      <w:pPr>
        <w:pStyle w:val="a7"/>
        <w:numPr>
          <w:ilvl w:val="255"/>
          <w:numId w:val="0"/>
        </w:numPr>
        <w:spacing w:beforeLines="150" w:before="468" w:afterLines="150" w:after="468" w:line="300" w:lineRule="auto"/>
        <w:rPr>
          <w:rFonts w:ascii="黑体" w:eastAsia="黑体"/>
          <w:color w:val="000000" w:themeColor="text1"/>
          <w:sz w:val="24"/>
          <w:szCs w:val="24"/>
        </w:rPr>
      </w:pPr>
      <w:bookmarkStart w:id="3" w:name="_Toc105424129"/>
      <w:bookmarkStart w:id="4" w:name="_Toc120026898"/>
      <w:bookmarkStart w:id="5" w:name="_Toc108621678"/>
      <w:bookmarkStart w:id="6" w:name="_Toc24884211"/>
      <w:bookmarkStart w:id="7" w:name="_Toc109226902"/>
      <w:bookmarkStart w:id="8" w:name="_Toc119657855"/>
      <w:bookmarkStart w:id="9" w:name="_Toc26718930"/>
      <w:bookmarkStart w:id="10" w:name="_Toc120522301"/>
      <w:bookmarkStart w:id="11" w:name="_Toc120265069"/>
      <w:bookmarkStart w:id="12" w:name="_Toc109222112"/>
      <w:bookmarkStart w:id="13" w:name="_Toc97191423"/>
      <w:bookmarkStart w:id="14" w:name="_Toc109635145"/>
      <w:bookmarkStart w:id="15" w:name="_Toc26986771"/>
      <w:bookmarkStart w:id="16" w:name="_Toc26986530"/>
      <w:bookmarkStart w:id="17" w:name="_Toc24884218"/>
      <w:bookmarkStart w:id="18" w:name="_Toc17233325"/>
      <w:bookmarkStart w:id="19" w:name="_Toc118206121"/>
      <w:bookmarkStart w:id="20" w:name="_Toc17233333"/>
      <w:bookmarkStart w:id="21" w:name="_Toc26648465"/>
      <w:r>
        <w:rPr>
          <w:rFonts w:ascii="黑体" w:eastAsia="黑体" w:hint="eastAsia"/>
          <w:color w:val="000000" w:themeColor="text1"/>
          <w:sz w:val="24"/>
          <w:szCs w:val="24"/>
        </w:rPr>
        <w:t xml:space="preserve">1 </w:t>
      </w:r>
      <w:r>
        <w:rPr>
          <w:rFonts w:ascii="黑体" w:eastAsia="黑体" w:hint="eastAsia"/>
          <w:color w:val="000000" w:themeColor="text1"/>
          <w:sz w:val="24"/>
          <w:szCs w:val="24"/>
        </w:rPr>
        <w:t>范围</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本标准规定了数字展会的定义、建设原则、承办单位要求、建设规范、实施保障等方面的要求。</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本标准适用于数字展会的建设工作。</w:t>
      </w:r>
    </w:p>
    <w:p w:rsidR="005F1593" w:rsidRDefault="00F54415">
      <w:pPr>
        <w:pStyle w:val="a7"/>
        <w:numPr>
          <w:ilvl w:val="255"/>
          <w:numId w:val="0"/>
        </w:numPr>
        <w:spacing w:beforeLines="150" w:before="468" w:afterLines="150" w:after="468" w:line="300" w:lineRule="auto"/>
        <w:rPr>
          <w:rFonts w:ascii="黑体" w:eastAsia="黑体"/>
          <w:color w:val="000000" w:themeColor="text1"/>
          <w:sz w:val="24"/>
          <w:szCs w:val="24"/>
        </w:rPr>
      </w:pPr>
      <w:bookmarkStart w:id="22" w:name="_Toc118206122"/>
      <w:bookmarkStart w:id="23" w:name="_Toc120265070"/>
      <w:bookmarkStart w:id="24" w:name="_Toc109226903"/>
      <w:bookmarkStart w:id="25" w:name="_Toc109635146"/>
      <w:bookmarkStart w:id="26" w:name="_Toc108621679"/>
      <w:bookmarkStart w:id="27" w:name="_Toc26986531"/>
      <w:bookmarkStart w:id="28" w:name="_Toc109222113"/>
      <w:bookmarkStart w:id="29" w:name="_Toc97191424"/>
      <w:bookmarkStart w:id="30" w:name="_Toc105424130"/>
      <w:bookmarkStart w:id="31" w:name="_Toc119657856"/>
      <w:bookmarkStart w:id="32" w:name="_Toc26986772"/>
      <w:bookmarkStart w:id="33" w:name="_Toc120522302"/>
      <w:bookmarkStart w:id="34" w:name="_Toc26718931"/>
      <w:bookmarkStart w:id="35" w:name="_Toc120026899"/>
      <w:r>
        <w:rPr>
          <w:rFonts w:ascii="黑体" w:eastAsia="黑体" w:hint="eastAsia"/>
          <w:color w:val="000000" w:themeColor="text1"/>
          <w:sz w:val="24"/>
          <w:szCs w:val="24"/>
        </w:rPr>
        <w:t xml:space="preserve">2 </w:t>
      </w:r>
      <w:r>
        <w:rPr>
          <w:rFonts w:ascii="黑体" w:eastAsia="黑体" w:hint="eastAsia"/>
          <w:color w:val="000000" w:themeColor="text1"/>
          <w:sz w:val="24"/>
          <w:szCs w:val="24"/>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下列文件中的内容通过文中的规范性引用而构成本标准必不可少的条款。其中，注</w:t>
      </w:r>
      <w:r>
        <w:rPr>
          <w:rFonts w:hAnsi="宋体" w:cs="宋体" w:hint="eastAsia"/>
          <w:color w:val="000000" w:themeColor="text1"/>
          <w:szCs w:val="21"/>
        </w:rPr>
        <w:t>明</w:t>
      </w:r>
      <w:r>
        <w:rPr>
          <w:rFonts w:hAnsi="宋体" w:cs="宋体" w:hint="eastAsia"/>
          <w:color w:val="000000" w:themeColor="text1"/>
          <w:szCs w:val="21"/>
        </w:rPr>
        <w:t>日期的引用文件，仅该日期对应的版本适用于本标准；不注</w:t>
      </w:r>
      <w:r>
        <w:rPr>
          <w:rFonts w:hAnsi="宋体" w:cs="宋体" w:hint="eastAsia"/>
          <w:color w:val="000000" w:themeColor="text1"/>
          <w:szCs w:val="21"/>
        </w:rPr>
        <w:t>明</w:t>
      </w:r>
      <w:r>
        <w:rPr>
          <w:rFonts w:hAnsi="宋体" w:cs="宋体" w:hint="eastAsia"/>
          <w:color w:val="000000" w:themeColor="text1"/>
          <w:szCs w:val="21"/>
        </w:rPr>
        <w:t>日期的引用文件，其最新版本（包括所有的修改单）适用于本标准。</w:t>
      </w:r>
    </w:p>
    <w:p w:rsidR="005F1593" w:rsidRDefault="00F54415">
      <w:pPr>
        <w:pStyle w:val="a7"/>
        <w:numPr>
          <w:ilvl w:val="2"/>
          <w:numId w:val="0"/>
        </w:numPr>
        <w:spacing w:line="300" w:lineRule="auto"/>
        <w:ind w:firstLineChars="200" w:firstLine="420"/>
        <w:rPr>
          <w:rFonts w:hAnsi="宋体" w:cs="宋体"/>
          <w:color w:val="000000" w:themeColor="text1"/>
          <w:szCs w:val="21"/>
        </w:rPr>
      </w:pPr>
      <w:bookmarkStart w:id="36" w:name="_Hlk114841000"/>
      <w:r>
        <w:rPr>
          <w:rFonts w:hAnsi="宋体" w:cs="宋体" w:hint="eastAsia"/>
          <w:color w:val="000000" w:themeColor="text1"/>
          <w:szCs w:val="21"/>
        </w:rPr>
        <w:t>GB/T25068.3</w:t>
      </w:r>
      <w:r>
        <w:rPr>
          <w:rFonts w:hAnsi="宋体" w:cs="宋体" w:hint="eastAsia"/>
          <w:color w:val="000000" w:themeColor="text1"/>
          <w:szCs w:val="21"/>
        </w:rPr>
        <w:t>—</w:t>
      </w:r>
      <w:r>
        <w:rPr>
          <w:rFonts w:hAnsi="宋体" w:cs="宋体" w:hint="eastAsia"/>
          <w:color w:val="000000" w:themeColor="text1"/>
          <w:szCs w:val="21"/>
        </w:rPr>
        <w:t>2022</w:t>
      </w:r>
      <w:r>
        <w:rPr>
          <w:rFonts w:hAnsi="宋体" w:cs="宋体" w:hint="eastAsia"/>
          <w:color w:val="000000" w:themeColor="text1"/>
          <w:szCs w:val="21"/>
        </w:rPr>
        <w:t>信息技术安全技术网络</w:t>
      </w:r>
      <w:proofErr w:type="gramStart"/>
      <w:r>
        <w:rPr>
          <w:rFonts w:hAnsi="宋体" w:cs="宋体" w:hint="eastAsia"/>
          <w:color w:val="000000" w:themeColor="text1"/>
          <w:szCs w:val="21"/>
        </w:rPr>
        <w:t>安全第</w:t>
      </w:r>
      <w:r>
        <w:rPr>
          <w:rFonts w:hAnsi="宋体" w:cs="宋体" w:hint="eastAsia"/>
          <w:color w:val="000000" w:themeColor="text1"/>
          <w:szCs w:val="21"/>
        </w:rPr>
        <w:t>3</w:t>
      </w:r>
      <w:proofErr w:type="gramEnd"/>
      <w:r>
        <w:rPr>
          <w:rFonts w:hAnsi="宋体" w:cs="宋体" w:hint="eastAsia"/>
          <w:color w:val="000000" w:themeColor="text1"/>
          <w:szCs w:val="21"/>
        </w:rPr>
        <w:t>部分：面向网络接入场景的威胁、设计技术和控制</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GB/T25068.4</w:t>
      </w:r>
      <w:r>
        <w:rPr>
          <w:rFonts w:hAnsi="宋体" w:cs="宋体" w:hint="eastAsia"/>
          <w:color w:val="000000" w:themeColor="text1"/>
          <w:szCs w:val="21"/>
        </w:rPr>
        <w:t>—</w:t>
      </w:r>
      <w:r>
        <w:rPr>
          <w:rFonts w:hAnsi="宋体" w:cs="宋体" w:hint="eastAsia"/>
          <w:color w:val="000000" w:themeColor="text1"/>
          <w:szCs w:val="21"/>
        </w:rPr>
        <w:t>2022</w:t>
      </w:r>
      <w:r>
        <w:rPr>
          <w:rFonts w:hAnsi="宋体" w:cs="宋体" w:hint="eastAsia"/>
          <w:color w:val="000000" w:themeColor="text1"/>
          <w:szCs w:val="21"/>
        </w:rPr>
        <w:t>信息技术安全技术网络</w:t>
      </w:r>
      <w:proofErr w:type="gramStart"/>
      <w:r>
        <w:rPr>
          <w:rFonts w:hAnsi="宋体" w:cs="宋体" w:hint="eastAsia"/>
          <w:color w:val="000000" w:themeColor="text1"/>
          <w:szCs w:val="21"/>
        </w:rPr>
        <w:t>安全第</w:t>
      </w:r>
      <w:r>
        <w:rPr>
          <w:rFonts w:hAnsi="宋体" w:cs="宋体" w:hint="eastAsia"/>
          <w:color w:val="000000" w:themeColor="text1"/>
          <w:szCs w:val="21"/>
        </w:rPr>
        <w:t>4</w:t>
      </w:r>
      <w:proofErr w:type="gramEnd"/>
      <w:r>
        <w:rPr>
          <w:rFonts w:hAnsi="宋体" w:cs="宋体" w:hint="eastAsia"/>
          <w:color w:val="000000" w:themeColor="text1"/>
          <w:szCs w:val="21"/>
        </w:rPr>
        <w:t>部分：使用安全网</w:t>
      </w:r>
      <w:r>
        <w:rPr>
          <w:rFonts w:hAnsi="宋体" w:cs="宋体" w:hint="eastAsia"/>
          <w:color w:val="000000" w:themeColor="text1"/>
          <w:szCs w:val="21"/>
        </w:rPr>
        <w:t>关的网间通信安全保护</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GB/T26165</w:t>
      </w:r>
      <w:r>
        <w:rPr>
          <w:rFonts w:hAnsi="宋体" w:cs="宋体" w:hint="eastAsia"/>
          <w:color w:val="000000" w:themeColor="text1"/>
          <w:szCs w:val="21"/>
        </w:rPr>
        <w:t>—</w:t>
      </w:r>
      <w:r>
        <w:rPr>
          <w:rFonts w:hAnsi="宋体" w:cs="宋体" w:hint="eastAsia"/>
          <w:color w:val="000000" w:themeColor="text1"/>
          <w:szCs w:val="21"/>
        </w:rPr>
        <w:t>2021</w:t>
      </w:r>
      <w:r>
        <w:rPr>
          <w:rFonts w:hAnsi="宋体" w:cs="宋体" w:hint="eastAsia"/>
          <w:color w:val="000000" w:themeColor="text1"/>
          <w:szCs w:val="21"/>
        </w:rPr>
        <w:t>经济贸易展会术语</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GB/T35273</w:t>
      </w:r>
      <w:r>
        <w:rPr>
          <w:rFonts w:hAnsi="宋体" w:cs="宋体" w:hint="eastAsia"/>
          <w:color w:val="000000" w:themeColor="text1"/>
          <w:szCs w:val="21"/>
        </w:rPr>
        <w:t>信息安全技术个人信息安全规范</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GB/T40094.4</w:t>
      </w:r>
      <w:r>
        <w:rPr>
          <w:rFonts w:hAnsi="宋体" w:cs="宋体" w:hint="eastAsia"/>
          <w:color w:val="000000" w:themeColor="text1"/>
          <w:szCs w:val="21"/>
        </w:rPr>
        <w:t>电子商务数据交易第</w:t>
      </w:r>
      <w:r>
        <w:rPr>
          <w:rFonts w:hAnsi="宋体" w:cs="宋体" w:hint="eastAsia"/>
          <w:color w:val="000000" w:themeColor="text1"/>
          <w:szCs w:val="21"/>
        </w:rPr>
        <w:t>4</w:t>
      </w:r>
      <w:r>
        <w:rPr>
          <w:rFonts w:hAnsi="宋体" w:cs="宋体" w:hint="eastAsia"/>
          <w:color w:val="000000" w:themeColor="text1"/>
          <w:szCs w:val="21"/>
        </w:rPr>
        <w:t>部分：隐私保护规范</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DB35/T2068-2022</w:t>
      </w:r>
      <w:r>
        <w:rPr>
          <w:rFonts w:hAnsi="宋体" w:cs="宋体" w:hint="eastAsia"/>
          <w:color w:val="000000" w:themeColor="text1"/>
          <w:szCs w:val="21"/>
        </w:rPr>
        <w:t>线上会议和展会服务规范</w:t>
      </w:r>
      <w:r>
        <w:rPr>
          <w:rFonts w:hAnsi="宋体" w:cs="宋体" w:hint="eastAsia"/>
          <w:color w:val="000000" w:themeColor="text1"/>
          <w:szCs w:val="21"/>
        </w:rPr>
        <w:t>T/QCEES08</w:t>
      </w:r>
      <w:r>
        <w:rPr>
          <w:rFonts w:hAnsi="宋体" w:cs="宋体" w:hint="eastAsia"/>
          <w:color w:val="000000" w:themeColor="text1"/>
          <w:szCs w:val="21"/>
        </w:rPr>
        <w:t>—</w:t>
      </w:r>
      <w:r>
        <w:rPr>
          <w:rFonts w:hAnsi="宋体" w:cs="宋体" w:hint="eastAsia"/>
          <w:color w:val="000000" w:themeColor="text1"/>
          <w:szCs w:val="21"/>
        </w:rPr>
        <w:t>2021</w:t>
      </w:r>
      <w:r>
        <w:rPr>
          <w:rFonts w:hAnsi="宋体" w:cs="宋体" w:hint="eastAsia"/>
          <w:color w:val="000000" w:themeColor="text1"/>
          <w:szCs w:val="21"/>
        </w:rPr>
        <w:t>数字展会评定标准、原则及方法指南</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DB3309T92-2022</w:t>
      </w:r>
      <w:r>
        <w:rPr>
          <w:rFonts w:hAnsi="宋体" w:cs="宋体" w:hint="eastAsia"/>
          <w:color w:val="000000" w:themeColor="text1"/>
          <w:szCs w:val="21"/>
        </w:rPr>
        <w:t>数字展会管理与服务规范</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ISO 25639-1:2023</w:t>
      </w:r>
      <w:r>
        <w:rPr>
          <w:rFonts w:hAnsi="宋体" w:cs="宋体" w:hint="eastAsia"/>
          <w:color w:val="000000" w:themeColor="text1"/>
          <w:szCs w:val="21"/>
        </w:rPr>
        <w:t>展览与会议</w:t>
      </w:r>
      <w:r>
        <w:rPr>
          <w:rFonts w:hAnsi="宋体" w:cs="宋体" w:hint="eastAsia"/>
          <w:color w:val="000000" w:themeColor="text1"/>
          <w:szCs w:val="21"/>
        </w:rPr>
        <w:t xml:space="preserve"> </w:t>
      </w:r>
      <w:r>
        <w:rPr>
          <w:rFonts w:hAnsi="宋体" w:cs="宋体" w:hint="eastAsia"/>
          <w:color w:val="000000" w:themeColor="text1"/>
          <w:szCs w:val="21"/>
        </w:rPr>
        <w:t>第</w:t>
      </w:r>
      <w:r>
        <w:rPr>
          <w:rFonts w:hAnsi="宋体" w:cs="宋体" w:hint="eastAsia"/>
          <w:color w:val="000000" w:themeColor="text1"/>
          <w:szCs w:val="21"/>
        </w:rPr>
        <w:t>1</w:t>
      </w:r>
      <w:r>
        <w:rPr>
          <w:rFonts w:hAnsi="宋体" w:cs="宋体" w:hint="eastAsia"/>
          <w:color w:val="000000" w:themeColor="text1"/>
          <w:szCs w:val="21"/>
        </w:rPr>
        <w:t>部分：词汇</w:t>
      </w:r>
    </w:p>
    <w:p w:rsidR="005F1593" w:rsidRDefault="00F54415">
      <w:pPr>
        <w:pStyle w:val="a7"/>
        <w:numPr>
          <w:ilvl w:val="255"/>
          <w:numId w:val="0"/>
        </w:numPr>
        <w:spacing w:beforeLines="150" w:before="468" w:afterLines="150" w:after="468" w:line="300" w:lineRule="auto"/>
        <w:rPr>
          <w:rFonts w:ascii="黑体" w:eastAsia="黑体"/>
          <w:color w:val="000000" w:themeColor="text1"/>
          <w:sz w:val="24"/>
          <w:szCs w:val="24"/>
        </w:rPr>
      </w:pPr>
      <w:bookmarkStart w:id="37" w:name="_Toc119657857"/>
      <w:bookmarkStart w:id="38" w:name="_Toc120026900"/>
      <w:bookmarkStart w:id="39" w:name="_Toc120522303"/>
      <w:bookmarkStart w:id="40" w:name="_Toc120265071"/>
      <w:bookmarkStart w:id="41" w:name="_Toc109226904"/>
      <w:bookmarkStart w:id="42" w:name="_Toc109222114"/>
      <w:bookmarkStart w:id="43" w:name="_Toc118206123"/>
      <w:bookmarkStart w:id="44" w:name="_Toc108621680"/>
      <w:bookmarkStart w:id="45" w:name="_Toc97191425"/>
      <w:bookmarkStart w:id="46" w:name="_Toc105424131"/>
      <w:bookmarkStart w:id="47" w:name="_Toc109635147"/>
      <w:bookmarkEnd w:id="36"/>
      <w:r>
        <w:rPr>
          <w:rFonts w:ascii="黑体" w:eastAsia="黑体" w:hint="eastAsia"/>
          <w:color w:val="000000" w:themeColor="text1"/>
          <w:sz w:val="24"/>
          <w:szCs w:val="24"/>
        </w:rPr>
        <w:t xml:space="preserve">3 </w:t>
      </w:r>
      <w:r>
        <w:rPr>
          <w:rFonts w:ascii="黑体" w:eastAsia="黑体" w:hint="eastAsia"/>
          <w:color w:val="000000" w:themeColor="text1"/>
          <w:sz w:val="24"/>
          <w:szCs w:val="24"/>
        </w:rPr>
        <w:t>术语和定义</w:t>
      </w:r>
      <w:bookmarkEnd w:id="37"/>
      <w:bookmarkEnd w:id="38"/>
      <w:bookmarkEnd w:id="39"/>
      <w:bookmarkEnd w:id="40"/>
      <w:bookmarkEnd w:id="41"/>
      <w:bookmarkEnd w:id="42"/>
      <w:bookmarkEnd w:id="43"/>
      <w:bookmarkEnd w:id="44"/>
      <w:bookmarkEnd w:id="45"/>
      <w:bookmarkEnd w:id="46"/>
      <w:bookmarkEnd w:id="47"/>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color w:val="000000" w:themeColor="text1"/>
          <w:szCs w:val="21"/>
        </w:rPr>
        <w:t>GB/T 26165-2021</w:t>
      </w:r>
      <w:r>
        <w:rPr>
          <w:rFonts w:hAnsi="宋体" w:cs="宋体"/>
          <w:color w:val="000000" w:themeColor="text1"/>
          <w:szCs w:val="21"/>
        </w:rPr>
        <w:t>界定的以及</w:t>
      </w:r>
      <w:r>
        <w:rPr>
          <w:rFonts w:hAnsi="宋体" w:cs="宋体" w:hint="eastAsia"/>
          <w:color w:val="000000" w:themeColor="text1"/>
          <w:szCs w:val="21"/>
        </w:rPr>
        <w:t>下列术语和定义适用于本标准。</w:t>
      </w:r>
    </w:p>
    <w:p w:rsidR="005F1593" w:rsidRDefault="00F54415">
      <w:pPr>
        <w:pStyle w:val="a7"/>
        <w:numPr>
          <w:ilvl w:val="2"/>
          <w:numId w:val="0"/>
        </w:numPr>
        <w:spacing w:line="300" w:lineRule="auto"/>
        <w:rPr>
          <w:rFonts w:ascii="黑体" w:eastAsia="黑体"/>
          <w:color w:val="000000" w:themeColor="text1"/>
          <w:szCs w:val="21"/>
        </w:rPr>
      </w:pPr>
      <w:bookmarkStart w:id="48" w:name="_Toc26986532"/>
      <w:bookmarkEnd w:id="48"/>
      <w:r>
        <w:rPr>
          <w:rFonts w:ascii="黑体" w:eastAsia="黑体" w:hint="eastAsia"/>
          <w:color w:val="000000" w:themeColor="text1"/>
          <w:szCs w:val="21"/>
        </w:rPr>
        <w:t>3.1</w:t>
      </w:r>
      <w:r>
        <w:rPr>
          <w:rFonts w:ascii="黑体" w:eastAsia="黑体" w:hint="eastAsia"/>
          <w:color w:val="000000" w:themeColor="text1"/>
          <w:szCs w:val="21"/>
        </w:rPr>
        <w:t>数字展会</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以信息技术为基础，通过云计算、大数据、人工智能、物联网等数字技术，对展会活动的全生命周期进行数字化</w:t>
      </w:r>
      <w:r>
        <w:rPr>
          <w:rFonts w:hAnsi="宋体" w:cs="宋体" w:hint="eastAsia"/>
          <w:color w:val="000000" w:themeColor="text1"/>
          <w:szCs w:val="21"/>
        </w:rPr>
        <w:t>重构</w:t>
      </w:r>
      <w:r>
        <w:rPr>
          <w:rFonts w:hAnsi="宋体" w:cs="宋体" w:hint="eastAsia"/>
          <w:color w:val="000000" w:themeColor="text1"/>
          <w:szCs w:val="21"/>
        </w:rPr>
        <w:t>。不仅支持线上展示和交流，还通过数字化手段优化线下展会的组织与管理，</w:t>
      </w:r>
      <w:proofErr w:type="gramStart"/>
      <w:r>
        <w:rPr>
          <w:rFonts w:hAnsi="宋体" w:cs="宋体" w:hint="eastAsia"/>
          <w:color w:val="000000" w:themeColor="text1"/>
          <w:szCs w:val="21"/>
        </w:rPr>
        <w:t>实现线</w:t>
      </w:r>
      <w:proofErr w:type="gramEnd"/>
      <w:r>
        <w:rPr>
          <w:rFonts w:hAnsi="宋体" w:cs="宋体" w:hint="eastAsia"/>
          <w:color w:val="000000" w:themeColor="text1"/>
          <w:szCs w:val="21"/>
        </w:rPr>
        <w:t>上线下融合</w:t>
      </w:r>
      <w:r>
        <w:rPr>
          <w:rFonts w:hAnsi="宋体" w:cs="宋体" w:hint="eastAsia"/>
          <w:color w:val="000000" w:themeColor="text1"/>
          <w:szCs w:val="21"/>
        </w:rPr>
        <w:t>发展</w:t>
      </w:r>
      <w:r>
        <w:rPr>
          <w:rFonts w:hAnsi="宋体" w:cs="宋体" w:hint="eastAsia"/>
          <w:color w:val="000000" w:themeColor="text1"/>
          <w:szCs w:val="21"/>
        </w:rPr>
        <w:t>的新型展会模式。</w:t>
      </w:r>
    </w:p>
    <w:p w:rsidR="005F1593" w:rsidRDefault="00F54415">
      <w:pPr>
        <w:pStyle w:val="a7"/>
        <w:numPr>
          <w:ilvl w:val="255"/>
          <w:numId w:val="0"/>
        </w:numPr>
        <w:spacing w:beforeLines="150" w:before="468" w:afterLines="150" w:after="468" w:line="300" w:lineRule="auto"/>
        <w:rPr>
          <w:rFonts w:ascii="黑体" w:eastAsia="黑体"/>
          <w:color w:val="000000" w:themeColor="text1"/>
          <w:sz w:val="24"/>
          <w:szCs w:val="24"/>
        </w:rPr>
      </w:pPr>
      <w:r>
        <w:rPr>
          <w:rFonts w:ascii="黑体" w:eastAsia="黑体" w:hint="eastAsia"/>
          <w:color w:val="000000" w:themeColor="text1"/>
          <w:sz w:val="24"/>
          <w:szCs w:val="24"/>
        </w:rPr>
        <w:lastRenderedPageBreak/>
        <w:t xml:space="preserve">4 </w:t>
      </w:r>
      <w:r>
        <w:rPr>
          <w:rFonts w:ascii="黑体" w:eastAsia="黑体" w:hint="eastAsia"/>
          <w:color w:val="000000" w:themeColor="text1"/>
          <w:sz w:val="24"/>
          <w:szCs w:val="24"/>
        </w:rPr>
        <w:t>建设原则</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4.</w:t>
      </w:r>
      <w:r>
        <w:rPr>
          <w:rFonts w:ascii="黑体" w:eastAsia="黑体"/>
          <w:color w:val="000000" w:themeColor="text1"/>
          <w:szCs w:val="21"/>
        </w:rPr>
        <w:t xml:space="preserve">1 </w:t>
      </w:r>
      <w:r>
        <w:rPr>
          <w:rFonts w:ascii="黑体" w:eastAsia="黑体"/>
          <w:color w:val="000000" w:themeColor="text1"/>
          <w:szCs w:val="21"/>
        </w:rPr>
        <w:t>数据驱动，精准运营</w:t>
      </w:r>
    </w:p>
    <w:p w:rsidR="005F1593" w:rsidRDefault="00F54415">
      <w:pPr>
        <w:pStyle w:val="a7"/>
        <w:numPr>
          <w:ilvl w:val="2"/>
          <w:numId w:val="0"/>
        </w:numPr>
        <w:spacing w:line="300" w:lineRule="auto"/>
        <w:ind w:firstLineChars="200" w:firstLine="420"/>
        <w:rPr>
          <w:rFonts w:ascii="仿宋" w:eastAsia="仿宋" w:hAnsi="仿宋" w:cs="仿宋"/>
          <w:color w:val="000000" w:themeColor="text1"/>
          <w:szCs w:val="21"/>
        </w:rPr>
      </w:pPr>
      <w:r>
        <w:rPr>
          <w:rFonts w:hAnsi="宋体" w:cs="宋体" w:hint="eastAsia"/>
          <w:color w:val="000000" w:themeColor="text1"/>
          <w:szCs w:val="21"/>
        </w:rPr>
        <w:t>建立覆盖招展、筹展、办展等环节的全流程数据治理体系，通过参展商</w:t>
      </w:r>
      <w:r>
        <w:rPr>
          <w:rFonts w:hAnsi="宋体" w:cs="宋体" w:hint="eastAsia"/>
          <w:color w:val="000000" w:themeColor="text1"/>
          <w:szCs w:val="21"/>
        </w:rPr>
        <w:t>产品和服务</w:t>
      </w:r>
      <w:r>
        <w:rPr>
          <w:rFonts w:hAnsi="宋体" w:cs="宋体" w:hint="eastAsia"/>
          <w:color w:val="000000" w:themeColor="text1"/>
          <w:szCs w:val="21"/>
        </w:rPr>
        <w:t>画像与观众需求画像的深度关联，构建智能决策支持系统，实现营销推广、服务供给等环节的精准化响应。</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4</w:t>
      </w:r>
      <w:r>
        <w:rPr>
          <w:rFonts w:ascii="黑体" w:eastAsia="黑体"/>
          <w:color w:val="000000" w:themeColor="text1"/>
          <w:szCs w:val="21"/>
        </w:rPr>
        <w:t>.2</w:t>
      </w:r>
      <w:r>
        <w:rPr>
          <w:rFonts w:ascii="黑体" w:eastAsia="黑体" w:hint="eastAsia"/>
          <w:color w:val="000000" w:themeColor="text1"/>
          <w:szCs w:val="21"/>
        </w:rPr>
        <w:t xml:space="preserve"> </w:t>
      </w:r>
      <w:r>
        <w:rPr>
          <w:rFonts w:ascii="黑体" w:eastAsia="黑体" w:hint="eastAsia"/>
          <w:color w:val="000000" w:themeColor="text1"/>
          <w:szCs w:val="21"/>
        </w:rPr>
        <w:t>技术赋能，场景融合</w:t>
      </w:r>
    </w:p>
    <w:p w:rsidR="005F1593" w:rsidRDefault="00F54415">
      <w:pPr>
        <w:pStyle w:val="a7"/>
        <w:numPr>
          <w:ilvl w:val="2"/>
          <w:numId w:val="0"/>
        </w:numPr>
        <w:spacing w:line="300" w:lineRule="auto"/>
        <w:ind w:firstLineChars="200" w:firstLine="420"/>
        <w:rPr>
          <w:rFonts w:ascii="仿宋" w:eastAsia="仿宋" w:hAnsi="仿宋" w:cs="仿宋"/>
          <w:color w:val="000000" w:themeColor="text1"/>
          <w:szCs w:val="21"/>
        </w:rPr>
      </w:pPr>
      <w:r>
        <w:rPr>
          <w:rFonts w:hAnsi="宋体" w:cs="宋体" w:hint="eastAsia"/>
          <w:color w:val="000000" w:themeColor="text1"/>
          <w:szCs w:val="21"/>
        </w:rPr>
        <w:t>构建“云边端”协同的新型技术底座，重点推进工业设备可视化、农产品溯源</w:t>
      </w:r>
      <w:r>
        <w:rPr>
          <w:rFonts w:hAnsi="宋体" w:cs="宋体" w:hint="eastAsia"/>
          <w:color w:val="000000" w:themeColor="text1"/>
          <w:szCs w:val="21"/>
        </w:rPr>
        <w:t>、</w:t>
      </w:r>
      <w:r>
        <w:rPr>
          <w:rFonts w:hAnsi="宋体" w:cs="宋体" w:hint="eastAsia"/>
          <w:color w:val="000000" w:themeColor="text1"/>
          <w:szCs w:val="21"/>
        </w:rPr>
        <w:t>服务创新提升</w:t>
      </w:r>
      <w:r>
        <w:rPr>
          <w:rFonts w:hAnsi="宋体" w:cs="宋体" w:hint="eastAsia"/>
          <w:color w:val="000000" w:themeColor="text1"/>
          <w:szCs w:val="21"/>
        </w:rPr>
        <w:t>等特色场景建设。建立前沿技术动态适配机制，保障数字展会的创新活力与实用价值。</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color w:val="000000" w:themeColor="text1"/>
          <w:szCs w:val="21"/>
        </w:rPr>
        <w:t>4.</w:t>
      </w:r>
      <w:r>
        <w:rPr>
          <w:rFonts w:ascii="黑体" w:eastAsia="黑体" w:hint="eastAsia"/>
          <w:color w:val="000000" w:themeColor="text1"/>
          <w:szCs w:val="21"/>
        </w:rPr>
        <w:t>3</w:t>
      </w:r>
      <w:r>
        <w:rPr>
          <w:rFonts w:ascii="黑体" w:eastAsia="黑体"/>
          <w:color w:val="000000" w:themeColor="text1"/>
          <w:szCs w:val="21"/>
        </w:rPr>
        <w:t xml:space="preserve"> </w:t>
      </w:r>
      <w:r>
        <w:rPr>
          <w:rFonts w:ascii="黑体" w:eastAsia="黑体" w:hint="eastAsia"/>
          <w:color w:val="000000" w:themeColor="text1"/>
          <w:szCs w:val="21"/>
        </w:rPr>
        <w:t>持续优化，长效发展</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建立包含基础设施、服务能力、经济效益等维度的评估模型，实施动态分级管理制度。构建产学研协同创新生态，完善数字</w:t>
      </w:r>
      <w:r>
        <w:rPr>
          <w:rFonts w:hAnsi="宋体" w:cs="宋体" w:hint="eastAsia"/>
          <w:color w:val="000000" w:themeColor="text1"/>
          <w:szCs w:val="21"/>
        </w:rPr>
        <w:t>展会</w:t>
      </w:r>
      <w:r>
        <w:rPr>
          <w:rFonts w:hAnsi="宋体" w:cs="宋体" w:hint="eastAsia"/>
          <w:color w:val="000000" w:themeColor="text1"/>
          <w:szCs w:val="21"/>
        </w:rPr>
        <w:t>人才梯度培养机制。</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color w:val="000000" w:themeColor="text1"/>
          <w:szCs w:val="21"/>
        </w:rPr>
        <w:t>4.</w:t>
      </w:r>
      <w:r>
        <w:rPr>
          <w:rFonts w:ascii="黑体" w:eastAsia="黑体" w:hint="eastAsia"/>
          <w:color w:val="000000" w:themeColor="text1"/>
          <w:szCs w:val="21"/>
        </w:rPr>
        <w:t xml:space="preserve">4 </w:t>
      </w:r>
      <w:r>
        <w:rPr>
          <w:rFonts w:ascii="黑体" w:eastAsia="黑体"/>
          <w:color w:val="000000" w:themeColor="text1"/>
          <w:szCs w:val="21"/>
        </w:rPr>
        <w:t>完善机制，保障安全</w:t>
      </w:r>
    </w:p>
    <w:p w:rsidR="005F1593" w:rsidRDefault="00F54415">
      <w:pPr>
        <w:pStyle w:val="a7"/>
        <w:numPr>
          <w:ilvl w:val="2"/>
          <w:numId w:val="0"/>
        </w:numPr>
        <w:spacing w:line="300" w:lineRule="auto"/>
        <w:ind w:firstLineChars="200" w:firstLine="420"/>
        <w:rPr>
          <w:rFonts w:ascii="仿宋" w:eastAsia="仿宋" w:hAnsi="仿宋" w:cs="仿宋"/>
          <w:color w:val="000000" w:themeColor="text1"/>
          <w:szCs w:val="21"/>
        </w:rPr>
      </w:pPr>
      <w:r>
        <w:rPr>
          <w:rFonts w:hAnsi="宋体" w:cs="宋体" w:hint="eastAsia"/>
          <w:color w:val="000000" w:themeColor="text1"/>
          <w:szCs w:val="21"/>
        </w:rPr>
        <w:t>完善数字展会运营管理机制，重点防范大型展会高并发访问风险及跨境数据</w:t>
      </w:r>
      <w:r>
        <w:rPr>
          <w:rFonts w:hAnsi="宋体" w:cs="宋体" w:hint="eastAsia"/>
          <w:color w:val="000000" w:themeColor="text1"/>
          <w:szCs w:val="21"/>
        </w:rPr>
        <w:t>非法</w:t>
      </w:r>
      <w:r>
        <w:rPr>
          <w:rFonts w:hAnsi="宋体" w:cs="宋体" w:hint="eastAsia"/>
          <w:color w:val="000000" w:themeColor="text1"/>
          <w:szCs w:val="21"/>
        </w:rPr>
        <w:t>流动</w:t>
      </w:r>
      <w:r>
        <w:rPr>
          <w:rFonts w:hAnsi="宋体" w:cs="宋体" w:hint="eastAsia"/>
          <w:color w:val="000000" w:themeColor="text1"/>
          <w:szCs w:val="21"/>
        </w:rPr>
        <w:t>风险</w:t>
      </w:r>
      <w:r>
        <w:rPr>
          <w:rFonts w:hAnsi="宋体" w:cs="宋体" w:hint="eastAsia"/>
          <w:color w:val="000000" w:themeColor="text1"/>
          <w:szCs w:val="21"/>
        </w:rPr>
        <w:t>。构建双线融合场景下的权限分级控制机制，实施展商数据脱敏处理与观众隐私保护双重策略。</w:t>
      </w:r>
    </w:p>
    <w:p w:rsidR="005F1593" w:rsidRDefault="00F54415">
      <w:pPr>
        <w:pStyle w:val="a7"/>
        <w:numPr>
          <w:ilvl w:val="255"/>
          <w:numId w:val="0"/>
        </w:numPr>
        <w:spacing w:beforeLines="150" w:before="468" w:afterLines="150" w:after="468" w:line="300" w:lineRule="auto"/>
        <w:rPr>
          <w:rFonts w:ascii="黑体" w:eastAsia="黑体"/>
          <w:color w:val="000000" w:themeColor="text1"/>
          <w:sz w:val="24"/>
          <w:szCs w:val="24"/>
        </w:rPr>
      </w:pPr>
      <w:r>
        <w:rPr>
          <w:rFonts w:ascii="黑体" w:eastAsia="黑体" w:hint="eastAsia"/>
          <w:color w:val="000000" w:themeColor="text1"/>
          <w:sz w:val="24"/>
          <w:szCs w:val="24"/>
        </w:rPr>
        <w:t xml:space="preserve">5 </w:t>
      </w:r>
      <w:r>
        <w:rPr>
          <w:rFonts w:ascii="黑体" w:eastAsia="黑体" w:hint="eastAsia"/>
          <w:color w:val="000000" w:themeColor="text1"/>
          <w:sz w:val="24"/>
          <w:szCs w:val="24"/>
        </w:rPr>
        <w:t>承办单位要求</w:t>
      </w:r>
    </w:p>
    <w:p w:rsidR="005F1593" w:rsidRDefault="00F54415">
      <w:pPr>
        <w:pStyle w:val="a7"/>
        <w:numPr>
          <w:ilvl w:val="2"/>
          <w:numId w:val="0"/>
        </w:numPr>
        <w:spacing w:line="300" w:lineRule="auto"/>
        <w:rPr>
          <w:rFonts w:ascii="黑体" w:eastAsia="黑体"/>
          <w:color w:val="000000" w:themeColor="text1"/>
          <w:szCs w:val="21"/>
        </w:rPr>
      </w:pPr>
      <w:bookmarkStart w:id="49" w:name="_Toc109226908"/>
      <w:bookmarkStart w:id="50" w:name="_Toc109222118"/>
      <w:bookmarkStart w:id="51" w:name="_Toc109635151"/>
      <w:bookmarkStart w:id="52" w:name="_Toc108621684"/>
      <w:r>
        <w:rPr>
          <w:rFonts w:ascii="黑体" w:eastAsia="黑体"/>
          <w:color w:val="000000" w:themeColor="text1"/>
          <w:szCs w:val="21"/>
        </w:rPr>
        <w:t xml:space="preserve">5.1 </w:t>
      </w:r>
      <w:r>
        <w:rPr>
          <w:rFonts w:ascii="黑体" w:eastAsia="黑体"/>
          <w:color w:val="000000" w:themeColor="text1"/>
          <w:szCs w:val="21"/>
        </w:rPr>
        <w:t>基础资质要求</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具备独立法人资格及展会服务相关经营范围，拥有固定办公场所、办公设施与专业服务团队。通过质量管理体系认证且在有效期内，具备承接展会项目的</w:t>
      </w:r>
      <w:r>
        <w:rPr>
          <w:rFonts w:hAnsi="宋体" w:cs="宋体" w:hint="eastAsia"/>
          <w:color w:val="000000" w:themeColor="text1"/>
          <w:szCs w:val="21"/>
        </w:rPr>
        <w:t>资金保障</w:t>
      </w:r>
      <w:r>
        <w:rPr>
          <w:rFonts w:hAnsi="宋体" w:cs="宋体" w:hint="eastAsia"/>
          <w:color w:val="000000" w:themeColor="text1"/>
          <w:szCs w:val="21"/>
        </w:rPr>
        <w:t>实力与风险承担能力。</w:t>
      </w:r>
    </w:p>
    <w:p w:rsidR="005F1593" w:rsidRDefault="00F54415">
      <w:pPr>
        <w:pStyle w:val="a7"/>
        <w:numPr>
          <w:ilvl w:val="2"/>
          <w:numId w:val="0"/>
        </w:numPr>
        <w:spacing w:line="300" w:lineRule="auto"/>
        <w:rPr>
          <w:rFonts w:ascii="黑体" w:eastAsia="黑体"/>
          <w:color w:val="000000" w:themeColor="text1"/>
          <w:szCs w:val="21"/>
        </w:rPr>
      </w:pPr>
      <w:bookmarkStart w:id="53" w:name="_Toc109222119"/>
      <w:bookmarkStart w:id="54" w:name="_Toc109635152"/>
      <w:bookmarkStart w:id="55" w:name="_Toc109226909"/>
      <w:bookmarkStart w:id="56" w:name="_Toc108621685"/>
      <w:bookmarkEnd w:id="49"/>
      <w:bookmarkEnd w:id="50"/>
      <w:bookmarkEnd w:id="51"/>
      <w:bookmarkEnd w:id="52"/>
      <w:r>
        <w:rPr>
          <w:rFonts w:ascii="黑体" w:eastAsia="黑体"/>
          <w:color w:val="000000" w:themeColor="text1"/>
          <w:szCs w:val="21"/>
        </w:rPr>
        <w:t xml:space="preserve">5.2 </w:t>
      </w:r>
      <w:r>
        <w:rPr>
          <w:rFonts w:ascii="黑体" w:eastAsia="黑体"/>
          <w:color w:val="000000" w:themeColor="text1"/>
          <w:szCs w:val="21"/>
        </w:rPr>
        <w:t>数字服务能力</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建立数字展会安全体系，</w:t>
      </w:r>
      <w:r>
        <w:rPr>
          <w:rFonts w:hAnsi="宋体" w:cs="宋体" w:hint="eastAsia"/>
          <w:color w:val="000000" w:themeColor="text1"/>
          <w:szCs w:val="21"/>
        </w:rPr>
        <w:t>进行</w:t>
      </w:r>
      <w:r>
        <w:rPr>
          <w:rFonts w:hAnsi="宋体" w:cs="宋体" w:hint="eastAsia"/>
          <w:color w:val="000000" w:themeColor="text1"/>
          <w:szCs w:val="21"/>
        </w:rPr>
        <w:t>风险识别并制定应对措施。构建涵盖展会项目管理、展示设计、培训、展团服务等环节的标准化服务管理制度。组建涵盖项目管理</w:t>
      </w:r>
      <w:r>
        <w:rPr>
          <w:rFonts w:hAnsi="宋体" w:cs="宋体" w:hint="eastAsia"/>
          <w:color w:val="000000" w:themeColor="text1"/>
          <w:szCs w:val="21"/>
        </w:rPr>
        <w:t>人员</w:t>
      </w:r>
      <w:r>
        <w:rPr>
          <w:rFonts w:hAnsi="宋体" w:cs="宋体" w:hint="eastAsia"/>
          <w:color w:val="000000" w:themeColor="text1"/>
          <w:szCs w:val="21"/>
        </w:rPr>
        <w:t>、市场推广和销售</w:t>
      </w:r>
      <w:r>
        <w:rPr>
          <w:rFonts w:hAnsi="宋体" w:cs="宋体" w:hint="eastAsia"/>
          <w:color w:val="000000" w:themeColor="text1"/>
          <w:szCs w:val="21"/>
        </w:rPr>
        <w:t>人员</w:t>
      </w:r>
      <w:r>
        <w:rPr>
          <w:rFonts w:hAnsi="宋体" w:cs="宋体" w:hint="eastAsia"/>
          <w:color w:val="000000" w:themeColor="text1"/>
          <w:szCs w:val="21"/>
        </w:rPr>
        <w:t>、技术</w:t>
      </w:r>
      <w:r>
        <w:rPr>
          <w:rFonts w:hAnsi="宋体" w:cs="宋体" w:hint="eastAsia"/>
          <w:color w:val="000000" w:themeColor="text1"/>
          <w:szCs w:val="21"/>
        </w:rPr>
        <w:t>人员</w:t>
      </w:r>
      <w:r>
        <w:rPr>
          <w:rFonts w:hAnsi="宋体" w:cs="宋体" w:hint="eastAsia"/>
          <w:color w:val="000000" w:themeColor="text1"/>
          <w:szCs w:val="21"/>
        </w:rPr>
        <w:t>、客服、网络运营维护工程师等</w:t>
      </w:r>
      <w:r>
        <w:rPr>
          <w:rFonts w:hAnsi="宋体" w:cs="宋体" w:hint="eastAsia"/>
          <w:color w:val="000000" w:themeColor="text1"/>
          <w:szCs w:val="21"/>
        </w:rPr>
        <w:t>成员</w:t>
      </w:r>
      <w:r>
        <w:rPr>
          <w:rFonts w:hAnsi="宋体" w:cs="宋体" w:hint="eastAsia"/>
          <w:color w:val="000000" w:themeColor="text1"/>
          <w:szCs w:val="21"/>
        </w:rPr>
        <w:t>的专业团队，指定专人负责数字展会的组织调配、沟通协调、问题处理</w:t>
      </w:r>
      <w:r>
        <w:rPr>
          <w:rFonts w:hAnsi="宋体" w:cs="宋体" w:hint="eastAsia"/>
          <w:color w:val="000000" w:themeColor="text1"/>
          <w:szCs w:val="21"/>
        </w:rPr>
        <w:t>及应急处置</w:t>
      </w:r>
      <w:r>
        <w:rPr>
          <w:rFonts w:hAnsi="宋体" w:cs="宋体" w:hint="eastAsia"/>
          <w:color w:val="000000" w:themeColor="text1"/>
          <w:szCs w:val="21"/>
        </w:rPr>
        <w:t>等工作。</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5.3</w:t>
      </w:r>
      <w:bookmarkEnd w:id="53"/>
      <w:bookmarkEnd w:id="54"/>
      <w:bookmarkEnd w:id="55"/>
      <w:bookmarkEnd w:id="56"/>
      <w:r>
        <w:rPr>
          <w:rFonts w:ascii="黑体" w:eastAsia="黑体" w:hint="eastAsia"/>
          <w:color w:val="000000" w:themeColor="text1"/>
          <w:szCs w:val="21"/>
        </w:rPr>
        <w:t xml:space="preserve"> </w:t>
      </w:r>
      <w:r>
        <w:rPr>
          <w:rFonts w:ascii="黑体" w:eastAsia="黑体" w:hint="eastAsia"/>
          <w:color w:val="000000" w:themeColor="text1"/>
          <w:szCs w:val="21"/>
        </w:rPr>
        <w:t>属地服务能力要求</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熟悉会展业政策法规及地域特点，具有</w:t>
      </w:r>
      <w:r>
        <w:rPr>
          <w:rFonts w:hAnsi="宋体" w:cs="宋体" w:hint="eastAsia"/>
          <w:color w:val="000000" w:themeColor="text1"/>
          <w:szCs w:val="21"/>
        </w:rPr>
        <w:t>承接</w:t>
      </w:r>
      <w:r>
        <w:rPr>
          <w:rFonts w:hAnsi="宋体" w:cs="宋体" w:hint="eastAsia"/>
          <w:color w:val="000000" w:themeColor="text1"/>
          <w:szCs w:val="21"/>
        </w:rPr>
        <w:t>省级重点展会项目的成功案例。具有</w:t>
      </w:r>
      <w:r>
        <w:rPr>
          <w:rFonts w:hAnsi="宋体" w:cs="宋体" w:hint="eastAsia"/>
          <w:color w:val="000000" w:themeColor="text1"/>
          <w:szCs w:val="21"/>
        </w:rPr>
        <w:t>在</w:t>
      </w:r>
      <w:r>
        <w:rPr>
          <w:rFonts w:hAnsi="宋体" w:cs="宋体" w:hint="eastAsia"/>
          <w:color w:val="000000" w:themeColor="text1"/>
          <w:szCs w:val="21"/>
        </w:rPr>
        <w:t>省内主要会展城市设立服务网点的能力，形成包含技术支持、现场运维等环节的本地化服务网络，确保对突发需求的快速响应能力。</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5</w:t>
      </w:r>
      <w:r>
        <w:rPr>
          <w:rFonts w:ascii="黑体" w:eastAsia="黑体"/>
          <w:color w:val="000000" w:themeColor="text1"/>
          <w:szCs w:val="21"/>
        </w:rPr>
        <w:t>.4</w:t>
      </w:r>
      <w:r>
        <w:rPr>
          <w:rFonts w:ascii="黑体" w:eastAsia="黑体" w:hint="eastAsia"/>
          <w:color w:val="000000" w:themeColor="text1"/>
          <w:szCs w:val="21"/>
        </w:rPr>
        <w:t xml:space="preserve"> </w:t>
      </w:r>
      <w:r>
        <w:rPr>
          <w:rFonts w:ascii="黑体" w:eastAsia="黑体" w:hint="eastAsia"/>
          <w:color w:val="000000" w:themeColor="text1"/>
          <w:szCs w:val="21"/>
        </w:rPr>
        <w:t>发展潜力要求</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lastRenderedPageBreak/>
        <w:t>积极参与行业标准建设与数字化转型实践。建立专业人才培养体系，定期选派人员参加专业技能与数字技术培训，涵盖</w:t>
      </w:r>
      <w:r>
        <w:rPr>
          <w:rFonts w:hAnsi="宋体" w:cs="宋体" w:hint="eastAsia"/>
          <w:color w:val="000000" w:themeColor="text1"/>
          <w:szCs w:val="21"/>
        </w:rPr>
        <w:t>展会</w:t>
      </w:r>
      <w:r>
        <w:rPr>
          <w:rFonts w:hAnsi="宋体" w:cs="宋体" w:hint="eastAsia"/>
          <w:color w:val="000000" w:themeColor="text1"/>
          <w:szCs w:val="21"/>
        </w:rPr>
        <w:t>策划、数字技术应用、</w:t>
      </w:r>
      <w:r>
        <w:rPr>
          <w:rFonts w:hAnsi="宋体" w:cs="宋体" w:hint="eastAsia"/>
          <w:color w:val="000000" w:themeColor="text1"/>
          <w:szCs w:val="21"/>
        </w:rPr>
        <w:t>网络</w:t>
      </w:r>
      <w:r>
        <w:rPr>
          <w:rFonts w:hAnsi="宋体" w:cs="宋体" w:hint="eastAsia"/>
          <w:color w:val="000000" w:themeColor="text1"/>
          <w:szCs w:val="21"/>
        </w:rPr>
        <w:t>营销等多个领域，确保团队成员能够及时掌握行业最新动态和技能要求。</w:t>
      </w:r>
    </w:p>
    <w:p w:rsidR="005F1593" w:rsidRDefault="00F54415">
      <w:pPr>
        <w:pStyle w:val="a7"/>
        <w:numPr>
          <w:ilvl w:val="255"/>
          <w:numId w:val="0"/>
        </w:numPr>
        <w:spacing w:beforeLines="150" w:before="468" w:afterLines="150" w:after="468" w:line="300" w:lineRule="auto"/>
        <w:rPr>
          <w:rFonts w:ascii="黑体" w:eastAsia="黑体"/>
          <w:color w:val="000000" w:themeColor="text1"/>
          <w:sz w:val="24"/>
          <w:szCs w:val="24"/>
        </w:rPr>
      </w:pPr>
      <w:r>
        <w:rPr>
          <w:rFonts w:ascii="黑体" w:eastAsia="黑体" w:hint="eastAsia"/>
          <w:color w:val="000000" w:themeColor="text1"/>
          <w:sz w:val="24"/>
          <w:szCs w:val="24"/>
        </w:rPr>
        <w:t xml:space="preserve">6 </w:t>
      </w:r>
      <w:r>
        <w:rPr>
          <w:rFonts w:ascii="黑体" w:eastAsia="黑体" w:hint="eastAsia"/>
          <w:color w:val="000000" w:themeColor="text1"/>
          <w:sz w:val="24"/>
          <w:szCs w:val="24"/>
        </w:rPr>
        <w:t>建设规范</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 xml:space="preserve">6.1 </w:t>
      </w:r>
      <w:bookmarkStart w:id="57" w:name="_Hlk195109027"/>
      <w:r>
        <w:rPr>
          <w:rFonts w:ascii="黑体" w:eastAsia="黑体" w:hint="eastAsia"/>
          <w:color w:val="000000" w:themeColor="text1"/>
          <w:szCs w:val="21"/>
        </w:rPr>
        <w:t>方案设计</w:t>
      </w:r>
      <w:bookmarkEnd w:id="57"/>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 xml:space="preserve">6.1.1 </w:t>
      </w:r>
      <w:r>
        <w:rPr>
          <w:rFonts w:ascii="黑体" w:eastAsia="黑体" w:hint="eastAsia"/>
          <w:color w:val="000000" w:themeColor="text1"/>
          <w:szCs w:val="21"/>
        </w:rPr>
        <w:t>战略目标规划</w:t>
      </w:r>
    </w:p>
    <w:p w:rsidR="005F1593" w:rsidRDefault="00F54415">
      <w:pPr>
        <w:pStyle w:val="a7"/>
        <w:numPr>
          <w:ilvl w:val="2"/>
          <w:numId w:val="0"/>
        </w:numPr>
        <w:spacing w:line="300" w:lineRule="auto"/>
        <w:ind w:firstLineChars="200" w:firstLine="420"/>
        <w:rPr>
          <w:rFonts w:ascii="仿宋" w:eastAsia="仿宋" w:hAnsi="仿宋" w:cs="仿宋"/>
          <w:color w:val="000000" w:themeColor="text1"/>
          <w:szCs w:val="21"/>
        </w:rPr>
      </w:pPr>
      <w:r>
        <w:rPr>
          <w:rFonts w:hAnsi="宋体" w:cs="宋体" w:hint="eastAsia"/>
          <w:color w:val="000000" w:themeColor="text1"/>
          <w:szCs w:val="21"/>
        </w:rPr>
        <w:t>确立展会数字化转型总体目标，重点提升线上线下协同能力、数据驱动决策水平和全流程服务</w:t>
      </w:r>
      <w:r>
        <w:rPr>
          <w:rFonts w:hAnsi="宋体" w:cs="宋体" w:hint="eastAsia"/>
          <w:color w:val="000000" w:themeColor="text1"/>
          <w:szCs w:val="21"/>
        </w:rPr>
        <w:t>效能</w:t>
      </w:r>
      <w:r>
        <w:rPr>
          <w:rFonts w:hAnsi="宋体" w:cs="宋体" w:hint="eastAsia"/>
          <w:color w:val="000000" w:themeColor="text1"/>
          <w:szCs w:val="21"/>
        </w:rPr>
        <w:t>，制定可量化的阶段实施计划。</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 xml:space="preserve">6.1.2 </w:t>
      </w:r>
      <w:r>
        <w:rPr>
          <w:rFonts w:ascii="黑体" w:eastAsia="黑体" w:hint="eastAsia"/>
          <w:color w:val="000000" w:themeColor="text1"/>
          <w:szCs w:val="21"/>
        </w:rPr>
        <w:t>展会市场分析</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开展参展商数字化能力评估与观众技术偏好调研，识别核心参与方的数字服务需求痛点，形成需求优先级清单</w:t>
      </w:r>
      <w:r>
        <w:rPr>
          <w:rFonts w:hAnsi="宋体" w:cs="宋体" w:hint="eastAsia"/>
          <w:color w:val="000000" w:themeColor="text1"/>
          <w:szCs w:val="21"/>
        </w:rPr>
        <w:t>和持续优化提升方案</w:t>
      </w:r>
      <w:r>
        <w:rPr>
          <w:rFonts w:hAnsi="宋体" w:cs="宋体" w:hint="eastAsia"/>
          <w:color w:val="000000" w:themeColor="text1"/>
          <w:szCs w:val="21"/>
        </w:rPr>
        <w:t>。</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 xml:space="preserve">6.1.3 </w:t>
      </w:r>
      <w:r>
        <w:rPr>
          <w:rFonts w:ascii="黑体" w:eastAsia="黑体" w:hint="eastAsia"/>
          <w:color w:val="000000" w:themeColor="text1"/>
          <w:szCs w:val="21"/>
        </w:rPr>
        <w:t>实施路径设计</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实施</w:t>
      </w:r>
      <w:r>
        <w:rPr>
          <w:rFonts w:hAnsi="宋体" w:cs="宋体" w:hint="eastAsia"/>
          <w:color w:val="000000" w:themeColor="text1"/>
          <w:szCs w:val="21"/>
        </w:rPr>
        <w:t>“基础功能建设</w:t>
      </w:r>
      <w:r>
        <w:rPr>
          <w:rFonts w:hAnsi="宋体" w:cs="宋体" w:hint="eastAsia"/>
          <w:color w:val="000000" w:themeColor="text1"/>
          <w:szCs w:val="21"/>
        </w:rPr>
        <w:t>-</w:t>
      </w:r>
      <w:r>
        <w:rPr>
          <w:rFonts w:hAnsi="宋体" w:cs="宋体" w:hint="eastAsia"/>
          <w:color w:val="000000" w:themeColor="text1"/>
          <w:szCs w:val="21"/>
        </w:rPr>
        <w:t>场景应用深化</w:t>
      </w:r>
      <w:r>
        <w:rPr>
          <w:rFonts w:hAnsi="宋体" w:cs="宋体" w:hint="eastAsia"/>
          <w:color w:val="000000" w:themeColor="text1"/>
          <w:szCs w:val="21"/>
        </w:rPr>
        <w:t>-</w:t>
      </w:r>
      <w:r>
        <w:rPr>
          <w:rFonts w:hAnsi="宋体" w:cs="宋体" w:hint="eastAsia"/>
          <w:color w:val="000000" w:themeColor="text1"/>
          <w:szCs w:val="21"/>
        </w:rPr>
        <w:t>智能服务升级”三阶段路径，明确各阶段技术选型标准与验收基准指标。</w:t>
      </w:r>
    </w:p>
    <w:p w:rsidR="005F1593" w:rsidRDefault="00F54415">
      <w:pPr>
        <w:pStyle w:val="a7"/>
        <w:numPr>
          <w:ilvl w:val="2"/>
          <w:numId w:val="0"/>
        </w:numPr>
        <w:spacing w:line="300" w:lineRule="auto"/>
        <w:rPr>
          <w:rFonts w:ascii="黑体" w:eastAsia="黑体"/>
          <w:color w:val="000000" w:themeColor="text1"/>
          <w:szCs w:val="21"/>
        </w:rPr>
      </w:pPr>
      <w:r>
        <w:rPr>
          <w:rFonts w:ascii="黑体" w:eastAsia="黑体" w:hint="eastAsia"/>
          <w:color w:val="000000" w:themeColor="text1"/>
          <w:szCs w:val="21"/>
        </w:rPr>
        <w:t xml:space="preserve">6.1.4 </w:t>
      </w:r>
      <w:r>
        <w:rPr>
          <w:rFonts w:ascii="黑体" w:eastAsia="黑体" w:hint="eastAsia"/>
          <w:color w:val="000000" w:themeColor="text1"/>
          <w:szCs w:val="21"/>
        </w:rPr>
        <w:t>资源整合机制</w:t>
      </w:r>
    </w:p>
    <w:p w:rsidR="005F1593" w:rsidRDefault="00F54415">
      <w:pPr>
        <w:pStyle w:val="a7"/>
        <w:numPr>
          <w:ilvl w:val="2"/>
          <w:numId w:val="0"/>
        </w:numPr>
        <w:spacing w:line="300" w:lineRule="auto"/>
        <w:ind w:firstLineChars="200" w:firstLine="420"/>
        <w:rPr>
          <w:rFonts w:ascii="仿宋" w:eastAsia="仿宋" w:hAnsi="仿宋" w:cs="仿宋"/>
          <w:color w:val="000000" w:themeColor="text1"/>
          <w:szCs w:val="21"/>
        </w:rPr>
      </w:pPr>
      <w:r>
        <w:rPr>
          <w:rFonts w:hAnsi="宋体" w:cs="宋体" w:hint="eastAsia"/>
          <w:color w:val="000000" w:themeColor="text1"/>
          <w:szCs w:val="21"/>
        </w:rPr>
        <w:t>建立对接机制，</w:t>
      </w:r>
      <w:r>
        <w:rPr>
          <w:rFonts w:hAnsi="宋体" w:cs="宋体" w:hint="eastAsia"/>
          <w:color w:val="000000" w:themeColor="text1"/>
          <w:szCs w:val="21"/>
        </w:rPr>
        <w:t>有效</w:t>
      </w:r>
      <w:r>
        <w:rPr>
          <w:rFonts w:hAnsi="宋体" w:cs="宋体" w:hint="eastAsia"/>
          <w:color w:val="000000" w:themeColor="text1"/>
          <w:szCs w:val="21"/>
        </w:rPr>
        <w:t>整合场馆设施、数据服务、技术支持等关键资源，制定服务商准入与能力评估标准。</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6.2 </w:t>
      </w:r>
      <w:bookmarkStart w:id="58" w:name="_Hlk195109040"/>
      <w:r>
        <w:rPr>
          <w:rFonts w:ascii="黑体" w:eastAsia="黑体" w:hAnsi="黑体" w:cs="黑体" w:hint="eastAsia"/>
          <w:color w:val="000000" w:themeColor="text1"/>
        </w:rPr>
        <w:t>数字营销</w:t>
      </w:r>
      <w:bookmarkEnd w:id="58"/>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6.2.1 </w:t>
      </w:r>
      <w:proofErr w:type="gramStart"/>
      <w:r>
        <w:rPr>
          <w:rFonts w:ascii="黑体" w:eastAsia="黑体" w:hAnsi="黑体" w:cs="黑体" w:hint="eastAsia"/>
          <w:color w:val="000000" w:themeColor="text1"/>
        </w:rPr>
        <w:t>建设获客系统</w:t>
      </w:r>
      <w:proofErr w:type="gramEnd"/>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建设基于行业特征与客群画像的智能推荐模型，通过多维度标签体系如企业规模、采购意向、技术偏好等实现目标参展商和观众的精准触达。</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6.2.2 </w:t>
      </w:r>
      <w:r>
        <w:rPr>
          <w:rFonts w:ascii="黑体" w:eastAsia="黑体" w:hAnsi="黑体" w:cs="黑体" w:hint="eastAsia"/>
          <w:color w:val="000000" w:themeColor="text1"/>
        </w:rPr>
        <w:t>智能客商邀约</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基于多维评估模型构建自动化邀约系统，定向推送个性化电子邀请函，支持多语种智能生成，实现精准招展招商。</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6.2.3 </w:t>
      </w:r>
      <w:r>
        <w:rPr>
          <w:rFonts w:ascii="黑体" w:eastAsia="黑体" w:hAnsi="黑体" w:cs="黑体" w:hint="eastAsia"/>
          <w:color w:val="000000" w:themeColor="text1"/>
        </w:rPr>
        <w:t>数据驱动优化</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全流程追踪招展招商数据，实时监测进度、效能与成本，生成决策支持简报，确保单个客商成本低于传统方式。</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.3</w:t>
      </w:r>
      <w:r>
        <w:rPr>
          <w:rFonts w:ascii="黑体" w:eastAsia="黑体" w:hAnsi="黑体" w:cs="黑体" w:hint="eastAsia"/>
          <w:color w:val="000000" w:themeColor="text1"/>
        </w:rPr>
        <w:t xml:space="preserve"> </w:t>
      </w:r>
      <w:bookmarkStart w:id="59" w:name="_Hlk195109048"/>
      <w:r>
        <w:rPr>
          <w:rFonts w:ascii="黑体" w:eastAsia="黑体" w:hAnsi="黑体" w:cs="黑体" w:hint="eastAsia"/>
          <w:color w:val="000000" w:themeColor="text1"/>
        </w:rPr>
        <w:t>传播管理</w:t>
      </w:r>
      <w:bookmarkEnd w:id="59"/>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6.3.1 </w:t>
      </w:r>
      <w:r>
        <w:rPr>
          <w:rFonts w:ascii="黑体" w:eastAsia="黑体" w:hAnsi="黑体" w:cs="黑体" w:hint="eastAsia"/>
          <w:color w:val="000000" w:themeColor="text1"/>
        </w:rPr>
        <w:t>智能化</w:t>
      </w:r>
      <w:r>
        <w:rPr>
          <w:rFonts w:ascii="黑体" w:eastAsia="黑体" w:hAnsi="黑体" w:cs="黑体"/>
          <w:color w:val="000000" w:themeColor="text1"/>
        </w:rPr>
        <w:t>内容生产</w:t>
      </w:r>
    </w:p>
    <w:p w:rsidR="005F1593" w:rsidRDefault="00F54415">
      <w:pPr>
        <w:pStyle w:val="a7"/>
        <w:numPr>
          <w:ilvl w:val="2"/>
          <w:numId w:val="0"/>
        </w:numPr>
        <w:spacing w:line="300" w:lineRule="auto"/>
        <w:ind w:firstLineChars="200" w:firstLine="420"/>
        <w:rPr>
          <w:rFonts w:hAnsi="宋体" w:cs="宋体"/>
          <w:color w:val="000000" w:themeColor="text1"/>
          <w:szCs w:val="21"/>
        </w:rPr>
      </w:pPr>
      <w:proofErr w:type="gramStart"/>
      <w:r>
        <w:rPr>
          <w:rFonts w:hAnsi="宋体" w:cs="宋体" w:hint="eastAsia"/>
          <w:color w:val="000000" w:themeColor="text1"/>
          <w:szCs w:val="21"/>
        </w:rPr>
        <w:t>构建全</w:t>
      </w:r>
      <w:proofErr w:type="gramEnd"/>
      <w:r>
        <w:rPr>
          <w:rFonts w:hAnsi="宋体" w:cs="宋体" w:hint="eastAsia"/>
          <w:color w:val="000000" w:themeColor="text1"/>
          <w:szCs w:val="21"/>
        </w:rPr>
        <w:t>媒体内容集约化生产体系，通过智能创作引擎实现多模态数字内容生成，建立</w:t>
      </w:r>
      <w:r>
        <w:rPr>
          <w:rFonts w:hAnsi="宋体" w:cs="宋体" w:hint="eastAsia"/>
          <w:color w:val="000000" w:themeColor="text1"/>
          <w:szCs w:val="21"/>
        </w:rPr>
        <w:t>涵盖</w:t>
      </w:r>
      <w:r>
        <w:rPr>
          <w:rFonts w:hAnsi="宋体" w:cs="宋体" w:hint="eastAsia"/>
          <w:color w:val="000000" w:themeColor="text1"/>
          <w:szCs w:val="21"/>
        </w:rPr>
        <w:t>著作权验证、事实核查、品牌一致性检测的三重审核机制，确保传播内容符合行业标准</w:t>
      </w:r>
      <w:r>
        <w:rPr>
          <w:rFonts w:hAnsi="宋体" w:cs="宋体" w:hint="eastAsia"/>
          <w:color w:val="000000" w:themeColor="text1"/>
          <w:szCs w:val="21"/>
        </w:rPr>
        <w:t>、</w:t>
      </w:r>
      <w:r>
        <w:rPr>
          <w:rFonts w:hAnsi="宋体" w:cs="宋体" w:hint="eastAsia"/>
          <w:color w:val="000000" w:themeColor="text1"/>
          <w:szCs w:val="21"/>
        </w:rPr>
        <w:t>品牌规范</w:t>
      </w:r>
      <w:r>
        <w:rPr>
          <w:rFonts w:hAnsi="宋体" w:cs="宋体" w:hint="eastAsia"/>
          <w:color w:val="000000" w:themeColor="text1"/>
          <w:szCs w:val="21"/>
        </w:rPr>
        <w:t>和知识产权保护要求</w:t>
      </w:r>
      <w:r>
        <w:rPr>
          <w:rFonts w:hAnsi="宋体" w:cs="宋体" w:hint="eastAsia"/>
          <w:color w:val="000000" w:themeColor="text1"/>
          <w:szCs w:val="21"/>
        </w:rPr>
        <w:t>。</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6.3.2 </w:t>
      </w:r>
      <w:r>
        <w:rPr>
          <w:rFonts w:ascii="黑体" w:eastAsia="黑体" w:hAnsi="黑体" w:cs="黑体" w:hint="eastAsia"/>
          <w:color w:val="000000" w:themeColor="text1"/>
        </w:rPr>
        <w:t>打造</w:t>
      </w:r>
      <w:r>
        <w:rPr>
          <w:rFonts w:ascii="黑体" w:eastAsia="黑体" w:hAnsi="黑体" w:cs="黑体"/>
          <w:color w:val="000000" w:themeColor="text1"/>
        </w:rPr>
        <w:t>全媒体矩阵</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lastRenderedPageBreak/>
        <w:t>构建官网、社交平台与跨境媒体的三级传播网络，强化全域覆盖能力，精准</w:t>
      </w:r>
      <w:proofErr w:type="gramStart"/>
      <w:r>
        <w:rPr>
          <w:rFonts w:hAnsi="宋体" w:cs="宋体" w:hint="eastAsia"/>
          <w:color w:val="000000" w:themeColor="text1"/>
          <w:szCs w:val="21"/>
        </w:rPr>
        <w:t>触达全球</w:t>
      </w:r>
      <w:proofErr w:type="gramEnd"/>
      <w:r>
        <w:rPr>
          <w:rFonts w:hAnsi="宋体" w:cs="宋体" w:hint="eastAsia"/>
          <w:color w:val="000000" w:themeColor="text1"/>
          <w:szCs w:val="21"/>
        </w:rPr>
        <w:t>受众，提升</w:t>
      </w:r>
      <w:r>
        <w:rPr>
          <w:rFonts w:hAnsi="宋体" w:cs="宋体" w:hint="eastAsia"/>
          <w:color w:val="000000" w:themeColor="text1"/>
          <w:szCs w:val="21"/>
        </w:rPr>
        <w:t>展会活动</w:t>
      </w:r>
      <w:r>
        <w:rPr>
          <w:rFonts w:hAnsi="宋体" w:cs="宋体" w:hint="eastAsia"/>
          <w:color w:val="000000" w:themeColor="text1"/>
          <w:szCs w:val="21"/>
        </w:rPr>
        <w:t>品牌国际影响力，实现多渠道协同传播。</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6.3.3 </w:t>
      </w:r>
      <w:r>
        <w:rPr>
          <w:rFonts w:ascii="黑体" w:eastAsia="黑体" w:hAnsi="黑体" w:cs="黑体"/>
          <w:color w:val="000000" w:themeColor="text1"/>
        </w:rPr>
        <w:t>公关与舆情管理</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实施舆情全周期管控，能够快速响应负面事件，通过满意度回访与改进</w:t>
      </w:r>
      <w:r>
        <w:rPr>
          <w:rFonts w:hAnsi="宋体" w:cs="宋体" w:hint="eastAsia"/>
          <w:color w:val="000000" w:themeColor="text1"/>
          <w:szCs w:val="21"/>
        </w:rPr>
        <w:t>措施</w:t>
      </w:r>
      <w:r>
        <w:rPr>
          <w:rFonts w:hAnsi="宋体" w:cs="宋体" w:hint="eastAsia"/>
          <w:color w:val="000000" w:themeColor="text1"/>
          <w:szCs w:val="21"/>
        </w:rPr>
        <w:t>公示修复品牌声誉。</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6.3.4 </w:t>
      </w:r>
      <w:r>
        <w:rPr>
          <w:rFonts w:ascii="黑体" w:eastAsia="黑体" w:hAnsi="黑体" w:cs="黑体" w:hint="eastAsia"/>
          <w:color w:val="000000" w:themeColor="text1"/>
        </w:rPr>
        <w:t>形成</w:t>
      </w:r>
      <w:r>
        <w:rPr>
          <w:rFonts w:ascii="黑体" w:eastAsia="黑体" w:hAnsi="黑体" w:cs="黑体"/>
          <w:color w:val="000000" w:themeColor="text1"/>
        </w:rPr>
        <w:t>效果评估体系</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构建传播价值指数，量化曝光广度、互动深度与</w:t>
      </w:r>
      <w:r>
        <w:rPr>
          <w:rFonts w:hAnsi="宋体" w:cs="宋体" w:hint="eastAsia"/>
          <w:color w:val="000000" w:themeColor="text1"/>
          <w:szCs w:val="21"/>
        </w:rPr>
        <w:t>品牌</w:t>
      </w:r>
      <w:r>
        <w:rPr>
          <w:rFonts w:hAnsi="宋体" w:cs="宋体" w:hint="eastAsia"/>
          <w:color w:val="000000" w:themeColor="text1"/>
          <w:szCs w:val="21"/>
        </w:rPr>
        <w:t>美誉度，全面评估传播效果。展后发布白皮书，总结经验教训，指导未来策略优化。</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.4</w:t>
      </w:r>
      <w:r>
        <w:rPr>
          <w:rFonts w:ascii="黑体" w:eastAsia="黑体" w:hAnsi="黑体" w:cs="黑体" w:hint="eastAsia"/>
          <w:color w:val="000000" w:themeColor="text1"/>
        </w:rPr>
        <w:t xml:space="preserve"> </w:t>
      </w:r>
      <w:r>
        <w:rPr>
          <w:rFonts w:ascii="黑体" w:eastAsia="黑体" w:hAnsi="黑体" w:cs="黑体" w:hint="eastAsia"/>
          <w:color w:val="000000" w:themeColor="text1"/>
        </w:rPr>
        <w:t>平台建设</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6.4.1 </w:t>
      </w:r>
      <w:r>
        <w:rPr>
          <w:rFonts w:ascii="黑体" w:eastAsia="黑体" w:hAnsi="黑体" w:cs="黑体"/>
          <w:color w:val="000000" w:themeColor="text1"/>
        </w:rPr>
        <w:t>基础功能架构</w:t>
      </w:r>
    </w:p>
    <w:p w:rsidR="005F1593" w:rsidRDefault="00F54415">
      <w:pPr>
        <w:pStyle w:val="afa"/>
        <w:ind w:firstLine="420"/>
        <w:rPr>
          <w:rFonts w:hAnsi="宋体" w:cs="宋体"/>
          <w:color w:val="000000" w:themeColor="text1"/>
          <w:szCs w:val="21"/>
        </w:rPr>
      </w:pPr>
      <w:r>
        <w:rPr>
          <w:rFonts w:hAnsi="宋体" w:cs="宋体" w:hint="eastAsia"/>
          <w:color w:val="000000" w:themeColor="text1"/>
          <w:szCs w:val="21"/>
        </w:rPr>
        <w:t>建设官方网站、移动应用及</w:t>
      </w:r>
      <w:r>
        <w:rPr>
          <w:rFonts w:hAnsi="宋体" w:cs="宋体" w:hint="eastAsia"/>
          <w:color w:val="000000" w:themeColor="text1"/>
          <w:szCs w:val="21"/>
        </w:rPr>
        <w:t>VR</w:t>
      </w:r>
      <w:r>
        <w:rPr>
          <w:rFonts w:hAnsi="宋体" w:cs="宋体" w:hint="eastAsia"/>
          <w:color w:val="000000" w:themeColor="text1"/>
          <w:szCs w:val="21"/>
        </w:rPr>
        <w:t>展厅平台，支持展位</w:t>
      </w:r>
      <w:r>
        <w:rPr>
          <w:rFonts w:hAnsi="宋体" w:cs="宋体" w:hint="eastAsia"/>
          <w:color w:val="000000" w:themeColor="text1"/>
          <w:szCs w:val="21"/>
        </w:rPr>
        <w:t>3D</w:t>
      </w:r>
      <w:r>
        <w:rPr>
          <w:rFonts w:hAnsi="宋体" w:cs="宋体" w:hint="eastAsia"/>
          <w:color w:val="000000" w:themeColor="text1"/>
          <w:szCs w:val="21"/>
        </w:rPr>
        <w:t>可视化预订、展品数字化</w:t>
      </w:r>
      <w:r>
        <w:rPr>
          <w:rFonts w:hAnsi="宋体" w:cs="宋体" w:hint="eastAsia"/>
          <w:color w:val="000000" w:themeColor="text1"/>
          <w:szCs w:val="21"/>
        </w:rPr>
        <w:t>展示与</w:t>
      </w:r>
      <w:r>
        <w:rPr>
          <w:rFonts w:hAnsi="宋体" w:cs="宋体" w:hint="eastAsia"/>
          <w:color w:val="000000" w:themeColor="text1"/>
          <w:szCs w:val="21"/>
        </w:rPr>
        <w:t>管理、智能客服应答等核心功能模块。</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6.4.2 </w:t>
      </w:r>
      <w:r>
        <w:rPr>
          <w:rFonts w:ascii="黑体" w:eastAsia="黑体" w:hAnsi="黑体" w:cs="黑体"/>
          <w:color w:val="000000" w:themeColor="text1"/>
        </w:rPr>
        <w:t>技术融合应用</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采用</w:t>
      </w:r>
      <w:proofErr w:type="gramStart"/>
      <w:r>
        <w:rPr>
          <w:rFonts w:hAnsi="宋体" w:cs="宋体" w:hint="eastAsia"/>
          <w:color w:val="000000" w:themeColor="text1"/>
          <w:szCs w:val="21"/>
        </w:rPr>
        <w:t>云计算</w:t>
      </w:r>
      <w:proofErr w:type="gramEnd"/>
      <w:r>
        <w:rPr>
          <w:rFonts w:hAnsi="宋体" w:cs="宋体" w:hint="eastAsia"/>
          <w:color w:val="000000" w:themeColor="text1"/>
          <w:szCs w:val="21"/>
        </w:rPr>
        <w:t>实现弹性资源部署，集成智能匹配算法提升供需对接效率，</w:t>
      </w:r>
      <w:proofErr w:type="gramStart"/>
      <w:r>
        <w:rPr>
          <w:rFonts w:hAnsi="宋体" w:cs="宋体" w:hint="eastAsia"/>
          <w:color w:val="000000" w:themeColor="text1"/>
          <w:szCs w:val="21"/>
        </w:rPr>
        <w:t>应用国密</w:t>
      </w:r>
      <w:proofErr w:type="gramEnd"/>
      <w:r>
        <w:rPr>
          <w:rFonts w:hAnsi="宋体" w:cs="宋体" w:hint="eastAsia"/>
          <w:color w:val="000000" w:themeColor="text1"/>
          <w:szCs w:val="21"/>
        </w:rPr>
        <w:t>算法保障数据安全，支持与省内政务云平台数据互通。</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6.4.3 </w:t>
      </w:r>
      <w:r>
        <w:rPr>
          <w:rFonts w:ascii="黑体" w:eastAsia="黑体" w:hAnsi="黑体" w:cs="黑体"/>
          <w:color w:val="000000" w:themeColor="text1"/>
        </w:rPr>
        <w:t>交互体验</w:t>
      </w:r>
      <w:r>
        <w:rPr>
          <w:rFonts w:ascii="黑体" w:eastAsia="黑体" w:hAnsi="黑体" w:cs="黑体" w:hint="eastAsia"/>
          <w:color w:val="000000" w:themeColor="text1"/>
        </w:rPr>
        <w:t>设计</w:t>
      </w:r>
    </w:p>
    <w:p w:rsidR="005F1593" w:rsidRDefault="00F54415">
      <w:pPr>
        <w:pStyle w:val="afa"/>
        <w:ind w:firstLine="420"/>
        <w:rPr>
          <w:rFonts w:hAnsi="宋体" w:cs="宋体"/>
          <w:color w:val="000000" w:themeColor="text1"/>
          <w:szCs w:val="21"/>
        </w:rPr>
      </w:pPr>
      <w:r>
        <w:rPr>
          <w:rFonts w:hAnsi="宋体" w:cs="宋体" w:hint="eastAsia"/>
          <w:color w:val="000000" w:themeColor="text1"/>
          <w:szCs w:val="21"/>
        </w:rPr>
        <w:t>开发多模态交互系统，支持</w:t>
      </w:r>
      <w:r>
        <w:rPr>
          <w:rFonts w:hAnsi="宋体" w:cs="宋体" w:hint="eastAsia"/>
          <w:color w:val="000000" w:themeColor="text1"/>
          <w:szCs w:val="21"/>
        </w:rPr>
        <w:t>AR</w:t>
      </w:r>
      <w:r>
        <w:rPr>
          <w:rFonts w:hAnsi="宋体" w:cs="宋体" w:hint="eastAsia"/>
          <w:color w:val="000000" w:themeColor="text1"/>
          <w:szCs w:val="21"/>
        </w:rPr>
        <w:t>实时导</w:t>
      </w:r>
      <w:proofErr w:type="gramStart"/>
      <w:r>
        <w:rPr>
          <w:rFonts w:hAnsi="宋体" w:cs="宋体" w:hint="eastAsia"/>
          <w:color w:val="000000" w:themeColor="text1"/>
          <w:szCs w:val="21"/>
        </w:rPr>
        <w:t>览</w:t>
      </w:r>
      <w:proofErr w:type="gramEnd"/>
      <w:r>
        <w:rPr>
          <w:rFonts w:hAnsi="宋体" w:cs="宋体" w:hint="eastAsia"/>
          <w:color w:val="000000" w:themeColor="text1"/>
          <w:szCs w:val="21"/>
        </w:rPr>
        <w:t>、</w:t>
      </w:r>
      <w:r>
        <w:rPr>
          <w:rFonts w:hAnsi="宋体" w:cs="宋体" w:hint="eastAsia"/>
          <w:color w:val="000000" w:themeColor="text1"/>
          <w:szCs w:val="21"/>
        </w:rPr>
        <w:t>VR</w:t>
      </w:r>
      <w:r>
        <w:rPr>
          <w:rFonts w:hAnsi="宋体" w:cs="宋体" w:hint="eastAsia"/>
          <w:color w:val="000000" w:themeColor="text1"/>
          <w:szCs w:val="21"/>
        </w:rPr>
        <w:t>沉浸观展、智能语音助手等场景，优化多终端适配性能，确保流畅操作体验。</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6.4.4 </w:t>
      </w:r>
      <w:proofErr w:type="gramStart"/>
      <w:r>
        <w:rPr>
          <w:rFonts w:ascii="黑体" w:eastAsia="黑体" w:hAnsi="黑体" w:cs="黑体"/>
          <w:color w:val="000000" w:themeColor="text1"/>
        </w:rPr>
        <w:t>安全运</w:t>
      </w:r>
      <w:proofErr w:type="gramEnd"/>
      <w:r>
        <w:rPr>
          <w:rFonts w:ascii="黑体" w:eastAsia="黑体" w:hAnsi="黑体" w:cs="黑体"/>
          <w:color w:val="000000" w:themeColor="text1"/>
        </w:rPr>
        <w:t>维</w:t>
      </w:r>
      <w:r>
        <w:rPr>
          <w:rFonts w:ascii="黑体" w:eastAsia="黑体" w:hAnsi="黑体" w:cs="黑体" w:hint="eastAsia"/>
          <w:color w:val="000000" w:themeColor="text1"/>
        </w:rPr>
        <w:t>保障</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建立符合国家及地方安全标准的基础设施，实施分级数据保护策略，健全应急响应机制，保障平台安全稳定运行。</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6.5 </w:t>
      </w:r>
      <w:bookmarkStart w:id="60" w:name="_Hlk195109083"/>
      <w:r>
        <w:rPr>
          <w:rFonts w:ascii="黑体" w:eastAsia="黑体" w:hAnsi="黑体" w:cs="黑体"/>
          <w:color w:val="000000" w:themeColor="text1"/>
        </w:rPr>
        <w:t>场馆管理</w:t>
      </w:r>
      <w:bookmarkEnd w:id="60"/>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6.5.1 </w:t>
      </w:r>
      <w:r>
        <w:rPr>
          <w:rFonts w:ascii="黑体" w:eastAsia="黑体" w:hAnsi="黑体" w:cs="黑体"/>
          <w:color w:val="000000" w:themeColor="text1"/>
        </w:rPr>
        <w:t>设施评估标准</w:t>
      </w:r>
    </w:p>
    <w:p w:rsidR="005F1593" w:rsidRDefault="00F54415">
      <w:pPr>
        <w:pStyle w:val="afa"/>
        <w:ind w:firstLine="420"/>
        <w:rPr>
          <w:rFonts w:hAnsi="宋体" w:cs="宋体"/>
          <w:color w:val="000000" w:themeColor="text1"/>
          <w:szCs w:val="21"/>
        </w:rPr>
      </w:pPr>
      <w:r>
        <w:rPr>
          <w:rFonts w:hAnsi="宋体" w:cs="宋体" w:hint="eastAsia"/>
          <w:color w:val="000000" w:themeColor="text1"/>
          <w:szCs w:val="21"/>
        </w:rPr>
        <w:t>制定场馆数字化成熟度评估体系，涵盖网络、智能设备、系统开放度等关键指标，确保场馆具备承接数字展会</w:t>
      </w:r>
      <w:r>
        <w:rPr>
          <w:rFonts w:hAnsi="宋体" w:cs="宋体" w:hint="eastAsia"/>
          <w:color w:val="000000" w:themeColor="text1"/>
          <w:szCs w:val="21"/>
        </w:rPr>
        <w:t>活动</w:t>
      </w:r>
      <w:r>
        <w:rPr>
          <w:rFonts w:hAnsi="宋体" w:cs="宋体" w:hint="eastAsia"/>
          <w:color w:val="000000" w:themeColor="text1"/>
          <w:szCs w:val="21"/>
        </w:rPr>
        <w:t>的基础条件。</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6.5.2 </w:t>
      </w:r>
      <w:r>
        <w:rPr>
          <w:rFonts w:ascii="黑体" w:eastAsia="黑体" w:hAnsi="黑体" w:cs="黑体"/>
          <w:color w:val="000000" w:themeColor="text1"/>
        </w:rPr>
        <w:t>技术对接管理</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建立标准化对接流程，包括需求确认、接口测试、压力测试</w:t>
      </w:r>
      <w:r>
        <w:rPr>
          <w:rFonts w:hAnsi="宋体" w:cs="宋体" w:hint="eastAsia"/>
          <w:color w:val="000000" w:themeColor="text1"/>
          <w:szCs w:val="21"/>
        </w:rPr>
        <w:t>、</w:t>
      </w:r>
      <w:r>
        <w:rPr>
          <w:rFonts w:hAnsi="宋体" w:cs="宋体" w:hint="eastAsia"/>
          <w:color w:val="000000" w:themeColor="text1"/>
          <w:szCs w:val="21"/>
        </w:rPr>
        <w:t>安全防护测试</w:t>
      </w:r>
      <w:r>
        <w:rPr>
          <w:rFonts w:hAnsi="宋体" w:cs="宋体" w:hint="eastAsia"/>
          <w:color w:val="000000" w:themeColor="text1"/>
          <w:szCs w:val="21"/>
        </w:rPr>
        <w:t>及验收上线，确保技术对接的高效性和兼容性。</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6.5.3 </w:t>
      </w:r>
      <w:r>
        <w:rPr>
          <w:rFonts w:ascii="黑体" w:eastAsia="黑体" w:hAnsi="黑体" w:cs="黑体"/>
          <w:color w:val="000000" w:themeColor="text1"/>
        </w:rPr>
        <w:t>运营标准制定</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规范数字化服务时长、响应时效和数据更新频率，保障展会全程的高效运营和用户体验。</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6</w:t>
      </w:r>
      <w:r>
        <w:rPr>
          <w:rFonts w:ascii="黑体" w:eastAsia="黑体" w:hAnsi="黑体" w:cs="黑体" w:hint="eastAsia"/>
          <w:color w:val="000000" w:themeColor="text1"/>
        </w:rPr>
        <w:t xml:space="preserve"> </w:t>
      </w:r>
      <w:r>
        <w:rPr>
          <w:rFonts w:ascii="黑体" w:eastAsia="黑体" w:hAnsi="黑体" w:cs="黑体" w:hint="eastAsia"/>
          <w:color w:val="000000" w:themeColor="text1"/>
        </w:rPr>
        <w:t>参展商服务</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6</w:t>
      </w:r>
      <w:r>
        <w:rPr>
          <w:rFonts w:ascii="黑体" w:eastAsia="黑体" w:hAnsi="黑体" w:cs="黑体" w:hint="eastAsia"/>
          <w:color w:val="000000" w:themeColor="text1"/>
        </w:rPr>
        <w:t xml:space="preserve">.1 </w:t>
      </w:r>
      <w:r>
        <w:rPr>
          <w:rFonts w:ascii="黑体" w:eastAsia="黑体" w:hAnsi="黑体" w:cs="黑体" w:hint="eastAsia"/>
          <w:color w:val="000000" w:themeColor="text1"/>
        </w:rPr>
        <w:t>注册与审核</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建立完善的参展</w:t>
      </w:r>
      <w:proofErr w:type="gramStart"/>
      <w:r>
        <w:rPr>
          <w:rFonts w:hAnsi="宋体" w:cs="宋体" w:hint="eastAsia"/>
          <w:color w:val="000000" w:themeColor="text1"/>
          <w:szCs w:val="21"/>
        </w:rPr>
        <w:t>商注册</w:t>
      </w:r>
      <w:proofErr w:type="gramEnd"/>
      <w:r>
        <w:rPr>
          <w:rFonts w:hAnsi="宋体" w:cs="宋体" w:hint="eastAsia"/>
          <w:color w:val="000000" w:themeColor="text1"/>
          <w:szCs w:val="21"/>
        </w:rPr>
        <w:t>系统，支持线上线下融合的注册方式。参展商需提交企业基本信息、展品信息、联系方式等必要资料。系统具备自动审核功能，对不符合要求的注册信息进行提示，并支持人工审核机制，确保参展商资质的真实性和</w:t>
      </w:r>
      <w:r>
        <w:rPr>
          <w:rFonts w:hAnsi="宋体" w:cs="宋体" w:hint="eastAsia"/>
          <w:color w:val="000000" w:themeColor="text1"/>
          <w:szCs w:val="21"/>
        </w:rPr>
        <w:t>合</w:t>
      </w:r>
      <w:proofErr w:type="gramStart"/>
      <w:r>
        <w:rPr>
          <w:rFonts w:hAnsi="宋体" w:cs="宋体" w:hint="eastAsia"/>
          <w:color w:val="000000" w:themeColor="text1"/>
          <w:szCs w:val="21"/>
        </w:rPr>
        <w:t>规</w:t>
      </w:r>
      <w:proofErr w:type="gramEnd"/>
      <w:r>
        <w:rPr>
          <w:rFonts w:hAnsi="宋体" w:cs="宋体" w:hint="eastAsia"/>
          <w:color w:val="000000" w:themeColor="text1"/>
          <w:szCs w:val="21"/>
        </w:rPr>
        <w:t>合法性。</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6</w:t>
      </w:r>
      <w:r>
        <w:rPr>
          <w:rFonts w:ascii="黑体" w:eastAsia="黑体" w:hAnsi="黑体" w:cs="黑体" w:hint="eastAsia"/>
          <w:color w:val="000000" w:themeColor="text1"/>
        </w:rPr>
        <w:t xml:space="preserve">.2 </w:t>
      </w:r>
      <w:r>
        <w:rPr>
          <w:rFonts w:ascii="黑体" w:eastAsia="黑体" w:hAnsi="黑体" w:cs="黑体" w:hint="eastAsia"/>
          <w:color w:val="000000" w:themeColor="text1"/>
        </w:rPr>
        <w:t>数字化展品管理</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lastRenderedPageBreak/>
        <w:t>提供</w:t>
      </w:r>
      <w:r>
        <w:rPr>
          <w:rFonts w:hAnsi="宋体" w:cs="宋体" w:hint="eastAsia"/>
          <w:color w:val="000000" w:themeColor="text1"/>
          <w:szCs w:val="21"/>
        </w:rPr>
        <w:t>3D</w:t>
      </w:r>
      <w:r>
        <w:rPr>
          <w:rFonts w:hAnsi="宋体" w:cs="宋体" w:hint="eastAsia"/>
          <w:color w:val="000000" w:themeColor="text1"/>
          <w:szCs w:val="21"/>
        </w:rPr>
        <w:t>模型上</w:t>
      </w:r>
      <w:proofErr w:type="gramStart"/>
      <w:r>
        <w:rPr>
          <w:rFonts w:hAnsi="宋体" w:cs="宋体" w:hint="eastAsia"/>
          <w:color w:val="000000" w:themeColor="text1"/>
          <w:szCs w:val="21"/>
        </w:rPr>
        <w:t>传工具</w:t>
      </w:r>
      <w:proofErr w:type="gramEnd"/>
      <w:r>
        <w:rPr>
          <w:rFonts w:hAnsi="宋体" w:cs="宋体" w:hint="eastAsia"/>
          <w:color w:val="000000" w:themeColor="text1"/>
          <w:szCs w:val="21"/>
        </w:rPr>
        <w:t>与标准化元数据模板，支持多语种展品信息</w:t>
      </w:r>
      <w:r>
        <w:rPr>
          <w:rFonts w:hAnsi="宋体" w:cs="宋体" w:hint="eastAsia"/>
          <w:color w:val="000000" w:themeColor="text1"/>
          <w:szCs w:val="21"/>
        </w:rPr>
        <w:t>录入与</w:t>
      </w:r>
      <w:r>
        <w:rPr>
          <w:rFonts w:hAnsi="宋体" w:cs="宋体" w:hint="eastAsia"/>
          <w:color w:val="000000" w:themeColor="text1"/>
          <w:szCs w:val="21"/>
        </w:rPr>
        <w:t>编辑，实现展品数据与主平台智能匹配。</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6</w:t>
      </w:r>
      <w:r>
        <w:rPr>
          <w:rFonts w:ascii="黑体" w:eastAsia="黑体" w:hAnsi="黑体" w:cs="黑体" w:hint="eastAsia"/>
          <w:color w:val="000000" w:themeColor="text1"/>
        </w:rPr>
        <w:t xml:space="preserve">.3 </w:t>
      </w:r>
      <w:r>
        <w:rPr>
          <w:rFonts w:ascii="黑体" w:eastAsia="黑体" w:hAnsi="黑体" w:cs="黑体" w:hint="eastAsia"/>
          <w:color w:val="000000" w:themeColor="text1"/>
        </w:rPr>
        <w:t>虚拟展台建设</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提供线上展台搭建工具，支持参展商根据自身需求进行个性化展台设计。提供标准化展台模板供参展商选择，并确保展台设计符合展会</w:t>
      </w:r>
      <w:r>
        <w:rPr>
          <w:rFonts w:hAnsi="宋体" w:cs="宋体" w:hint="eastAsia"/>
          <w:color w:val="000000" w:themeColor="text1"/>
          <w:szCs w:val="21"/>
        </w:rPr>
        <w:t>活动</w:t>
      </w:r>
      <w:r>
        <w:rPr>
          <w:rFonts w:hAnsi="宋体" w:cs="宋体" w:hint="eastAsia"/>
          <w:color w:val="000000" w:themeColor="text1"/>
          <w:szCs w:val="21"/>
        </w:rPr>
        <w:t>整体风格和技术要求。同时，为参展商提供展台搭建的技术支持和咨询服务。</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6</w:t>
      </w:r>
      <w:r>
        <w:rPr>
          <w:rFonts w:ascii="黑体" w:eastAsia="黑体" w:hAnsi="黑体" w:cs="黑体" w:hint="eastAsia"/>
          <w:color w:val="000000" w:themeColor="text1"/>
        </w:rPr>
        <w:t xml:space="preserve">.4 </w:t>
      </w:r>
      <w:bookmarkStart w:id="61" w:name="_Hlk195109065"/>
      <w:r>
        <w:rPr>
          <w:rFonts w:ascii="黑体" w:eastAsia="黑体" w:hAnsi="黑体" w:cs="黑体" w:hint="eastAsia"/>
          <w:color w:val="000000" w:themeColor="text1"/>
        </w:rPr>
        <w:t>智能活动运营</w:t>
      </w:r>
      <w:bookmarkEnd w:id="61"/>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支持参展</w:t>
      </w:r>
      <w:proofErr w:type="gramStart"/>
      <w:r>
        <w:rPr>
          <w:rFonts w:hAnsi="宋体" w:cs="宋体" w:hint="eastAsia"/>
          <w:color w:val="000000" w:themeColor="text1"/>
          <w:szCs w:val="21"/>
        </w:rPr>
        <w:t>商举办线</w:t>
      </w:r>
      <w:proofErr w:type="gramEnd"/>
      <w:r>
        <w:rPr>
          <w:rFonts w:hAnsi="宋体" w:cs="宋体" w:hint="eastAsia"/>
          <w:color w:val="000000" w:themeColor="text1"/>
          <w:szCs w:val="21"/>
        </w:rPr>
        <w:t>上新品发布会、技术交流会、商务洽谈等活动。提供活动预约功能，协助参展商安排活动时间，并提供活动直播、录播技术支持，确保活动顺利进行。</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6</w:t>
      </w:r>
      <w:r>
        <w:rPr>
          <w:rFonts w:ascii="黑体" w:eastAsia="黑体" w:hAnsi="黑体" w:cs="黑体" w:hint="eastAsia"/>
          <w:color w:val="000000" w:themeColor="text1"/>
        </w:rPr>
        <w:t xml:space="preserve">.5 </w:t>
      </w:r>
      <w:r>
        <w:rPr>
          <w:rFonts w:ascii="黑体" w:eastAsia="黑体" w:hAnsi="黑体" w:cs="黑体" w:hint="eastAsia"/>
          <w:color w:val="000000" w:themeColor="text1"/>
        </w:rPr>
        <w:t>数据赋能服务</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为参展商提供实时数据分析服务，包括展品浏览量、潜在客户信息、商务洽谈记录等。定期向参展商提供展会效果评估报告，帮助参展商优化参展策略，并收集参展商反馈意见，持续改进</w:t>
      </w:r>
      <w:r>
        <w:rPr>
          <w:rFonts w:hAnsi="宋体" w:cs="宋体" w:hint="eastAsia"/>
          <w:color w:val="000000" w:themeColor="text1"/>
          <w:szCs w:val="21"/>
        </w:rPr>
        <w:t>提升</w:t>
      </w:r>
      <w:r>
        <w:rPr>
          <w:rFonts w:hAnsi="宋体" w:cs="宋体" w:hint="eastAsia"/>
          <w:color w:val="000000" w:themeColor="text1"/>
          <w:szCs w:val="21"/>
        </w:rPr>
        <w:t>服务质量。</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6</w:t>
      </w:r>
      <w:r>
        <w:rPr>
          <w:rFonts w:ascii="黑体" w:eastAsia="黑体" w:hAnsi="黑体" w:cs="黑体" w:hint="eastAsia"/>
          <w:color w:val="000000" w:themeColor="text1"/>
        </w:rPr>
        <w:t xml:space="preserve">.6 </w:t>
      </w:r>
      <w:r>
        <w:rPr>
          <w:rFonts w:ascii="黑体" w:eastAsia="黑体" w:hAnsi="黑体" w:cs="黑体" w:hint="eastAsia"/>
          <w:color w:val="000000" w:themeColor="text1"/>
        </w:rPr>
        <w:t>全周期服务支持</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设立专门的客户服务团队，为参展商提供全程咨询服务。服务内容包括展会信息咨询、技术支持、商务协调等。客户服务团队应具备多语言沟通能力，确保国际参展商的需求及时得到响应。</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7</w:t>
      </w:r>
      <w:r>
        <w:rPr>
          <w:rFonts w:ascii="黑体" w:eastAsia="黑体" w:hAnsi="黑体" w:cs="黑体" w:hint="eastAsia"/>
          <w:color w:val="000000" w:themeColor="text1"/>
        </w:rPr>
        <w:t xml:space="preserve"> </w:t>
      </w:r>
      <w:r>
        <w:rPr>
          <w:rFonts w:ascii="黑体" w:eastAsia="黑体" w:hAnsi="黑体" w:cs="黑体" w:hint="eastAsia"/>
          <w:color w:val="000000" w:themeColor="text1"/>
        </w:rPr>
        <w:t>观众服务</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7</w:t>
      </w:r>
      <w:r>
        <w:rPr>
          <w:rFonts w:ascii="黑体" w:eastAsia="黑体" w:hAnsi="黑体" w:cs="黑体" w:hint="eastAsia"/>
          <w:color w:val="000000" w:themeColor="text1"/>
        </w:rPr>
        <w:t xml:space="preserve">.1 </w:t>
      </w:r>
      <w:r>
        <w:rPr>
          <w:rFonts w:ascii="黑体" w:eastAsia="黑体" w:hAnsi="黑体" w:cs="黑体" w:hint="eastAsia"/>
          <w:color w:val="000000" w:themeColor="text1"/>
        </w:rPr>
        <w:t>注册与认证</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建立观众注册系统，支持线上注册和信息提交。观众需提供企业</w:t>
      </w:r>
      <w:r>
        <w:rPr>
          <w:rFonts w:hAnsi="宋体" w:cs="宋体" w:hint="eastAsia"/>
          <w:color w:val="000000" w:themeColor="text1"/>
          <w:szCs w:val="21"/>
        </w:rPr>
        <w:t>或个人</w:t>
      </w:r>
      <w:r>
        <w:rPr>
          <w:rFonts w:hAnsi="宋体" w:cs="宋体" w:hint="eastAsia"/>
          <w:color w:val="000000" w:themeColor="text1"/>
          <w:szCs w:val="21"/>
        </w:rPr>
        <w:t>基本信息、采购意向、联系方式等必要资料。系统应具备自动</w:t>
      </w:r>
      <w:r>
        <w:rPr>
          <w:rFonts w:hAnsi="宋体" w:cs="宋体" w:hint="eastAsia"/>
          <w:color w:val="000000" w:themeColor="text1"/>
          <w:szCs w:val="21"/>
        </w:rPr>
        <w:t>审核与</w:t>
      </w:r>
      <w:r>
        <w:rPr>
          <w:rFonts w:hAnsi="宋体" w:cs="宋体" w:hint="eastAsia"/>
          <w:color w:val="000000" w:themeColor="text1"/>
          <w:szCs w:val="21"/>
        </w:rPr>
        <w:t>认证功能，对观众资质进行审核，并支持人工复核机制，确保观众信息的真实性。</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7</w:t>
      </w:r>
      <w:r>
        <w:rPr>
          <w:rFonts w:ascii="黑体" w:eastAsia="黑体" w:hAnsi="黑体" w:cs="黑体" w:hint="eastAsia"/>
          <w:color w:val="000000" w:themeColor="text1"/>
        </w:rPr>
        <w:t xml:space="preserve">.2 </w:t>
      </w:r>
      <w:r>
        <w:rPr>
          <w:rFonts w:ascii="黑体" w:eastAsia="黑体" w:hAnsi="黑体" w:cs="黑体" w:hint="eastAsia"/>
          <w:color w:val="000000" w:themeColor="text1"/>
        </w:rPr>
        <w:t>个性化观展助手</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部署</w:t>
      </w:r>
      <w:r>
        <w:rPr>
          <w:rFonts w:hAnsi="宋体" w:cs="宋体" w:hint="eastAsia"/>
          <w:color w:val="000000" w:themeColor="text1"/>
          <w:szCs w:val="21"/>
        </w:rPr>
        <w:t>AI</w:t>
      </w:r>
      <w:r>
        <w:rPr>
          <w:rFonts w:hAnsi="宋体" w:cs="宋体" w:hint="eastAsia"/>
          <w:color w:val="000000" w:themeColor="text1"/>
          <w:szCs w:val="21"/>
        </w:rPr>
        <w:t>推荐引擎，基于采购意向与浏览行为生成定制化观展路线，支持</w:t>
      </w:r>
      <w:r>
        <w:rPr>
          <w:rFonts w:hAnsi="宋体" w:cs="宋体" w:hint="eastAsia"/>
          <w:color w:val="000000" w:themeColor="text1"/>
          <w:szCs w:val="21"/>
        </w:rPr>
        <w:t>AR</w:t>
      </w:r>
      <w:r>
        <w:rPr>
          <w:rFonts w:hAnsi="宋体" w:cs="宋体" w:hint="eastAsia"/>
          <w:color w:val="000000" w:themeColor="text1"/>
          <w:szCs w:val="21"/>
        </w:rPr>
        <w:t>实景导航与多终端信息同步。</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7</w:t>
      </w:r>
      <w:r>
        <w:rPr>
          <w:rFonts w:ascii="黑体" w:eastAsia="黑体" w:hAnsi="黑体" w:cs="黑体" w:hint="eastAsia"/>
          <w:color w:val="000000" w:themeColor="text1"/>
        </w:rPr>
        <w:t xml:space="preserve">.3 </w:t>
      </w:r>
      <w:r>
        <w:rPr>
          <w:rFonts w:ascii="黑体" w:eastAsia="黑体" w:hAnsi="黑体" w:cs="黑体" w:hint="eastAsia"/>
          <w:color w:val="000000" w:themeColor="text1"/>
        </w:rPr>
        <w:t>智能供需对接</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提供观众与参展商的在线对接平台，支持在线</w:t>
      </w:r>
      <w:proofErr w:type="gramStart"/>
      <w:r>
        <w:rPr>
          <w:rFonts w:hAnsi="宋体" w:cs="宋体" w:hint="eastAsia"/>
          <w:color w:val="000000" w:themeColor="text1"/>
          <w:szCs w:val="21"/>
        </w:rPr>
        <w:t>询</w:t>
      </w:r>
      <w:proofErr w:type="gramEnd"/>
      <w:r>
        <w:rPr>
          <w:rFonts w:hAnsi="宋体" w:cs="宋体" w:hint="eastAsia"/>
          <w:color w:val="000000" w:themeColor="text1"/>
          <w:szCs w:val="21"/>
        </w:rPr>
        <w:t>盘、报价、洽谈等功能。提供智能匹配服务，根据观众的需求和参展商的产品信息，</w:t>
      </w:r>
      <w:r>
        <w:rPr>
          <w:rFonts w:hAnsi="宋体" w:cs="宋体" w:hint="eastAsia"/>
          <w:color w:val="000000" w:themeColor="text1"/>
          <w:szCs w:val="21"/>
        </w:rPr>
        <w:t>智能</w:t>
      </w:r>
      <w:r>
        <w:rPr>
          <w:rFonts w:hAnsi="宋体" w:cs="宋体" w:hint="eastAsia"/>
          <w:color w:val="000000" w:themeColor="text1"/>
          <w:szCs w:val="21"/>
        </w:rPr>
        <w:t>匹配潜在合作伙伴。</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7</w:t>
      </w:r>
      <w:r>
        <w:rPr>
          <w:rFonts w:ascii="黑体" w:eastAsia="黑体" w:hAnsi="黑体" w:cs="黑体" w:hint="eastAsia"/>
          <w:color w:val="000000" w:themeColor="text1"/>
        </w:rPr>
        <w:t xml:space="preserve">.4 </w:t>
      </w:r>
      <w:r>
        <w:rPr>
          <w:rFonts w:ascii="黑体" w:eastAsia="黑体" w:hAnsi="黑体" w:cs="黑体" w:hint="eastAsia"/>
          <w:color w:val="000000" w:themeColor="text1"/>
        </w:rPr>
        <w:t>全景活动参与</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提供活动智能日历管理，支持直播多视角切换、会议纪要自动生成及重点内容片段回放功能。</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6.</w:t>
      </w:r>
      <w:r>
        <w:rPr>
          <w:rFonts w:ascii="黑体" w:eastAsia="黑体" w:hAnsi="黑体" w:cs="黑体"/>
          <w:color w:val="000000" w:themeColor="text1"/>
        </w:rPr>
        <w:t>7</w:t>
      </w:r>
      <w:r>
        <w:rPr>
          <w:rFonts w:ascii="黑体" w:eastAsia="黑体" w:hAnsi="黑体" w:cs="黑体" w:hint="eastAsia"/>
          <w:color w:val="000000" w:themeColor="text1"/>
        </w:rPr>
        <w:t xml:space="preserve">.5 </w:t>
      </w:r>
      <w:r>
        <w:rPr>
          <w:rFonts w:ascii="黑体" w:eastAsia="黑体" w:hAnsi="黑体" w:cs="黑体" w:hint="eastAsia"/>
          <w:color w:val="000000" w:themeColor="text1"/>
        </w:rPr>
        <w:t>数据分析服务</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为观众提供实时数据分析服务，包括潜在供应商信息、展品匹配度、洽谈记录等。定期向观众提供采购效果评估报告，帮助观众优化采购策略，并收集观众反馈意见，持续改进服务质量。</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lastRenderedPageBreak/>
        <w:t>6.</w:t>
      </w:r>
      <w:r>
        <w:rPr>
          <w:rFonts w:ascii="黑体" w:eastAsia="黑体" w:hAnsi="黑体" w:cs="黑体"/>
          <w:color w:val="000000" w:themeColor="text1"/>
        </w:rPr>
        <w:t>7</w:t>
      </w:r>
      <w:r>
        <w:rPr>
          <w:rFonts w:ascii="黑体" w:eastAsia="黑体" w:hAnsi="黑体" w:cs="黑体" w:hint="eastAsia"/>
          <w:color w:val="000000" w:themeColor="text1"/>
        </w:rPr>
        <w:t xml:space="preserve">.6 </w:t>
      </w:r>
      <w:r>
        <w:rPr>
          <w:rFonts w:ascii="黑体" w:eastAsia="黑体" w:hAnsi="黑体" w:cs="黑体" w:hint="eastAsia"/>
          <w:color w:val="000000" w:themeColor="text1"/>
        </w:rPr>
        <w:t>客户服务与支持</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建立智能客服，为观众提供全程咨询服务。服务内容包括展会信息咨询、技术支持、商务协调等。客户服务应具备多语言沟通能力，确保国际观众的需求得到及时响应。</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6.8 </w:t>
      </w:r>
      <w:r>
        <w:rPr>
          <w:rFonts w:ascii="黑体" w:eastAsia="黑体" w:hAnsi="黑体" w:cs="黑体"/>
          <w:color w:val="000000" w:themeColor="text1"/>
        </w:rPr>
        <w:t>同期活动管理</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6.8.1 </w:t>
      </w:r>
      <w:r>
        <w:rPr>
          <w:rFonts w:ascii="黑体" w:eastAsia="黑体" w:hAnsi="黑体" w:cs="黑体"/>
          <w:color w:val="000000" w:themeColor="text1"/>
        </w:rPr>
        <w:t>在线直播标准</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制定分级直播方案，为核心活动提供超高清、多机位切换的直播服务，确保低延时；分论坛提供标准化直播服务，并长期存储直播内容。</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6.8.2 </w:t>
      </w:r>
      <w:r>
        <w:rPr>
          <w:rFonts w:ascii="黑体" w:eastAsia="黑体" w:hAnsi="黑体" w:cs="黑体"/>
          <w:color w:val="000000" w:themeColor="text1"/>
        </w:rPr>
        <w:t>虚拟会议系统</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建设智能会议平台，集成电子签到、</w:t>
      </w:r>
      <w:r>
        <w:rPr>
          <w:rFonts w:hAnsi="宋体" w:cs="宋体" w:hint="eastAsia"/>
          <w:color w:val="000000" w:themeColor="text1"/>
          <w:szCs w:val="21"/>
        </w:rPr>
        <w:t>会议</w:t>
      </w:r>
      <w:r>
        <w:rPr>
          <w:rFonts w:hAnsi="宋体" w:cs="宋体" w:hint="eastAsia"/>
          <w:color w:val="000000" w:themeColor="text1"/>
          <w:szCs w:val="21"/>
        </w:rPr>
        <w:t>纪要自动提取、多语言同声传译等功能，提升会议效率和体验。</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6.8.3 </w:t>
      </w:r>
      <w:r>
        <w:rPr>
          <w:rFonts w:ascii="黑体" w:eastAsia="黑体" w:hAnsi="黑体" w:cs="黑体"/>
          <w:color w:val="000000" w:themeColor="text1"/>
        </w:rPr>
        <w:t>互动营销工具</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开发数字红包、虚拟抽奖、</w:t>
      </w:r>
      <w:r>
        <w:rPr>
          <w:rFonts w:hAnsi="宋体" w:cs="宋体" w:hint="eastAsia"/>
          <w:color w:val="000000" w:themeColor="text1"/>
          <w:szCs w:val="21"/>
        </w:rPr>
        <w:t>会奖邀请、</w:t>
      </w:r>
      <w:r>
        <w:rPr>
          <w:rFonts w:hAnsi="宋体" w:cs="宋体" w:hint="eastAsia"/>
          <w:color w:val="000000" w:themeColor="text1"/>
          <w:szCs w:val="21"/>
        </w:rPr>
        <w:t>打卡积分等互动组件，通过裂变传播、沉浸式体验和动线引导，提升活动参与率。</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6.8.4 </w:t>
      </w:r>
      <w:r>
        <w:rPr>
          <w:rFonts w:ascii="黑体" w:eastAsia="黑体" w:hAnsi="黑体" w:cs="黑体"/>
          <w:color w:val="000000" w:themeColor="text1"/>
        </w:rPr>
        <w:t>热度监测体系</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构建多维度热度指数模型，实时监测活动的参与度、传播力、转化率、满意度和影响力，数据同步至</w:t>
      </w:r>
      <w:r>
        <w:rPr>
          <w:rFonts w:hAnsi="宋体" w:cs="宋体" w:hint="eastAsia"/>
          <w:color w:val="000000" w:themeColor="text1"/>
          <w:szCs w:val="21"/>
        </w:rPr>
        <w:t>管理</w:t>
      </w:r>
      <w:r>
        <w:rPr>
          <w:rFonts w:hAnsi="宋体" w:cs="宋体" w:hint="eastAsia"/>
          <w:color w:val="000000" w:themeColor="text1"/>
          <w:szCs w:val="21"/>
        </w:rPr>
        <w:t>中心并定期生成趋势简报。</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6.9 </w:t>
      </w:r>
      <w:r>
        <w:rPr>
          <w:rFonts w:ascii="黑体" w:eastAsia="黑体" w:hAnsi="黑体" w:cs="黑体"/>
          <w:color w:val="000000" w:themeColor="text1"/>
        </w:rPr>
        <w:t>后期管理</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6.9.1 </w:t>
      </w:r>
      <w:r>
        <w:rPr>
          <w:rFonts w:ascii="黑体" w:eastAsia="黑体" w:hAnsi="黑体" w:cs="黑体"/>
          <w:color w:val="000000" w:themeColor="text1"/>
        </w:rPr>
        <w:t>数据归档规范</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建立结构化数据仓库，长期保留核心业务数据并加密存储敏感信息，定期开展数据资产盘点</w:t>
      </w:r>
      <w:r>
        <w:rPr>
          <w:rFonts w:hAnsi="宋体" w:cs="宋体" w:hint="eastAsia"/>
          <w:color w:val="000000" w:themeColor="text1"/>
          <w:szCs w:val="21"/>
        </w:rPr>
        <w:t>，</w:t>
      </w:r>
      <w:r>
        <w:rPr>
          <w:rFonts w:hAnsi="宋体" w:cs="宋体" w:hint="eastAsia"/>
          <w:color w:val="000000" w:themeColor="text1"/>
          <w:szCs w:val="21"/>
        </w:rPr>
        <w:t>并推动数据应用</w:t>
      </w:r>
      <w:r>
        <w:rPr>
          <w:rFonts w:hAnsi="宋体" w:cs="宋体" w:hint="eastAsia"/>
          <w:color w:val="000000" w:themeColor="text1"/>
          <w:szCs w:val="21"/>
        </w:rPr>
        <w:t>，</w:t>
      </w:r>
      <w:r>
        <w:rPr>
          <w:rFonts w:hAnsi="宋体" w:cs="宋体" w:hint="eastAsia"/>
          <w:color w:val="000000" w:themeColor="text1"/>
          <w:szCs w:val="21"/>
        </w:rPr>
        <w:t>同时</w:t>
      </w:r>
      <w:r>
        <w:rPr>
          <w:rFonts w:hAnsi="宋体" w:cs="宋体" w:hint="eastAsia"/>
          <w:color w:val="000000" w:themeColor="text1"/>
          <w:szCs w:val="21"/>
        </w:rPr>
        <w:t>确保数据安全与合</w:t>
      </w:r>
      <w:proofErr w:type="gramStart"/>
      <w:r>
        <w:rPr>
          <w:rFonts w:hAnsi="宋体" w:cs="宋体" w:hint="eastAsia"/>
          <w:color w:val="000000" w:themeColor="text1"/>
          <w:szCs w:val="21"/>
        </w:rPr>
        <w:t>规</w:t>
      </w:r>
      <w:proofErr w:type="gramEnd"/>
      <w:r>
        <w:rPr>
          <w:rFonts w:hAnsi="宋体" w:cs="宋体" w:hint="eastAsia"/>
          <w:color w:val="000000" w:themeColor="text1"/>
          <w:szCs w:val="21"/>
        </w:rPr>
        <w:t>。</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6.9.2 </w:t>
      </w:r>
      <w:r>
        <w:rPr>
          <w:rFonts w:ascii="黑体" w:eastAsia="黑体" w:hAnsi="黑体" w:cs="黑体"/>
          <w:color w:val="000000" w:themeColor="text1"/>
        </w:rPr>
        <w:t>持续对接机制</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通过智能推荐算法持续推送商机线索，对接产业供需平台实现长效价值挖掘。建立参展商续约预警模型。</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6.9.3 </w:t>
      </w:r>
      <w:r>
        <w:rPr>
          <w:rFonts w:ascii="黑体" w:eastAsia="黑体" w:hAnsi="黑体" w:cs="黑体"/>
          <w:color w:val="000000" w:themeColor="text1"/>
        </w:rPr>
        <w:t>迭代优化流程</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基于用户反馈与系统日志，定期输出优化方案并进行重大功能升级前的</w:t>
      </w:r>
      <w:r>
        <w:rPr>
          <w:rFonts w:hAnsi="宋体" w:cs="宋体" w:hint="eastAsia"/>
          <w:color w:val="000000" w:themeColor="text1"/>
          <w:szCs w:val="21"/>
        </w:rPr>
        <w:t>A/B</w:t>
      </w:r>
      <w:r>
        <w:rPr>
          <w:rFonts w:hAnsi="宋体" w:cs="宋体" w:hint="eastAsia"/>
          <w:color w:val="000000" w:themeColor="text1"/>
          <w:szCs w:val="21"/>
        </w:rPr>
        <w:t>测试验证，持续提升系统性能与用户体验。</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color w:val="000000" w:themeColor="text1"/>
        </w:rPr>
        <w:t xml:space="preserve">6.9.4 </w:t>
      </w:r>
      <w:r>
        <w:rPr>
          <w:rFonts w:ascii="黑体" w:eastAsia="黑体" w:hAnsi="黑体" w:cs="黑体"/>
          <w:color w:val="000000" w:themeColor="text1"/>
        </w:rPr>
        <w:t>知识图谱构建</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形成可复用的展会知识库，涵盖成功案例、技术参数和风险预案，支持快速复制优质模式并提升管理效率。</w:t>
      </w:r>
    </w:p>
    <w:p w:rsidR="005F1593" w:rsidRDefault="00F54415">
      <w:pPr>
        <w:pStyle w:val="a7"/>
        <w:numPr>
          <w:ilvl w:val="255"/>
          <w:numId w:val="0"/>
        </w:numPr>
        <w:spacing w:beforeLines="150" w:before="468" w:afterLines="150" w:after="468" w:line="300" w:lineRule="auto"/>
        <w:rPr>
          <w:rFonts w:ascii="黑体" w:eastAsia="黑体"/>
          <w:color w:val="000000" w:themeColor="text1"/>
          <w:sz w:val="24"/>
          <w:szCs w:val="24"/>
        </w:rPr>
      </w:pPr>
      <w:r>
        <w:rPr>
          <w:rFonts w:ascii="黑体" w:eastAsia="黑体" w:hint="eastAsia"/>
          <w:color w:val="000000" w:themeColor="text1"/>
          <w:sz w:val="24"/>
          <w:szCs w:val="24"/>
        </w:rPr>
        <w:t xml:space="preserve">7 </w:t>
      </w:r>
      <w:r>
        <w:rPr>
          <w:rFonts w:ascii="黑体" w:eastAsia="黑体" w:hint="eastAsia"/>
          <w:color w:val="000000" w:themeColor="text1"/>
          <w:sz w:val="24"/>
          <w:szCs w:val="24"/>
        </w:rPr>
        <w:t>实施保障</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7.1 </w:t>
      </w:r>
      <w:r>
        <w:rPr>
          <w:rFonts w:ascii="黑体" w:eastAsia="黑体" w:hAnsi="黑体" w:cs="黑体" w:hint="eastAsia"/>
          <w:color w:val="000000" w:themeColor="text1"/>
        </w:rPr>
        <w:t>数据治理保障</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建立全生命周期数据管理体系，实施动态脱敏与分级保护策略，确保数据</w:t>
      </w:r>
      <w:r>
        <w:rPr>
          <w:rFonts w:hAnsi="宋体" w:cs="宋体" w:hint="eastAsia"/>
          <w:color w:val="000000" w:themeColor="text1"/>
          <w:szCs w:val="21"/>
        </w:rPr>
        <w:t>合法</w:t>
      </w:r>
      <w:r>
        <w:rPr>
          <w:rFonts w:hAnsi="宋体" w:cs="宋体" w:hint="eastAsia"/>
          <w:color w:val="000000" w:themeColor="text1"/>
          <w:szCs w:val="21"/>
        </w:rPr>
        <w:t>合</w:t>
      </w:r>
      <w:proofErr w:type="gramStart"/>
      <w:r>
        <w:rPr>
          <w:rFonts w:hAnsi="宋体" w:cs="宋体" w:hint="eastAsia"/>
          <w:color w:val="000000" w:themeColor="text1"/>
          <w:szCs w:val="21"/>
        </w:rPr>
        <w:t>规</w:t>
      </w:r>
      <w:proofErr w:type="gramEnd"/>
      <w:r>
        <w:rPr>
          <w:rFonts w:hAnsi="宋体" w:cs="宋体" w:hint="eastAsia"/>
          <w:color w:val="000000" w:themeColor="text1"/>
          <w:szCs w:val="21"/>
        </w:rPr>
        <w:t>处理，保护参展商商业秘密和观众隐私。</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lastRenderedPageBreak/>
        <w:t xml:space="preserve">7.2 </w:t>
      </w:r>
      <w:r>
        <w:rPr>
          <w:rFonts w:ascii="黑体" w:eastAsia="黑体" w:hAnsi="黑体" w:cs="黑体" w:hint="eastAsia"/>
          <w:color w:val="000000" w:themeColor="text1"/>
        </w:rPr>
        <w:t>技术运维保障</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组建专业运维团队，建立</w:t>
      </w:r>
      <w:r>
        <w:rPr>
          <w:rFonts w:hAnsi="宋体" w:cs="宋体" w:hint="eastAsia"/>
          <w:color w:val="000000" w:themeColor="text1"/>
          <w:szCs w:val="21"/>
        </w:rPr>
        <w:t>7</w:t>
      </w:r>
      <w:r>
        <w:rPr>
          <w:rFonts w:hAnsi="宋体" w:cs="宋体" w:hint="eastAsia"/>
          <w:color w:val="000000" w:themeColor="text1"/>
          <w:szCs w:val="21"/>
        </w:rPr>
        <w:t>×</w:t>
      </w:r>
      <w:r>
        <w:rPr>
          <w:rFonts w:hAnsi="宋体" w:cs="宋体" w:hint="eastAsia"/>
          <w:color w:val="000000" w:themeColor="text1"/>
          <w:szCs w:val="21"/>
        </w:rPr>
        <w:t>24</w:t>
      </w:r>
      <w:r>
        <w:rPr>
          <w:rFonts w:hAnsi="宋体" w:cs="宋体" w:hint="eastAsia"/>
          <w:color w:val="000000" w:themeColor="text1"/>
          <w:szCs w:val="21"/>
        </w:rPr>
        <w:t>小时响应机制，定期开展系统健康检查，确保平台稳定运行。</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7.3 </w:t>
      </w:r>
      <w:r>
        <w:rPr>
          <w:rFonts w:ascii="黑体" w:eastAsia="黑体" w:hAnsi="黑体" w:cs="黑体" w:hint="eastAsia"/>
          <w:color w:val="000000" w:themeColor="text1"/>
        </w:rPr>
        <w:t>应急预案保障</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制定</w:t>
      </w:r>
      <w:r>
        <w:rPr>
          <w:rFonts w:hAnsi="宋体" w:cs="宋体" w:hint="eastAsia"/>
          <w:color w:val="000000" w:themeColor="text1"/>
          <w:szCs w:val="21"/>
        </w:rPr>
        <w:t>突发事件</w:t>
      </w:r>
      <w:r>
        <w:rPr>
          <w:rFonts w:hAnsi="宋体" w:cs="宋体" w:hint="eastAsia"/>
          <w:color w:val="000000" w:themeColor="text1"/>
          <w:szCs w:val="21"/>
        </w:rPr>
        <w:t>应急预案，定期开展全要素</w:t>
      </w:r>
      <w:r>
        <w:rPr>
          <w:rFonts w:hAnsi="宋体" w:cs="宋体" w:hint="eastAsia"/>
          <w:color w:val="000000" w:themeColor="text1"/>
          <w:szCs w:val="21"/>
        </w:rPr>
        <w:t>应急</w:t>
      </w:r>
      <w:r>
        <w:rPr>
          <w:rFonts w:hAnsi="宋体" w:cs="宋体" w:hint="eastAsia"/>
          <w:color w:val="000000" w:themeColor="text1"/>
          <w:szCs w:val="21"/>
        </w:rPr>
        <w:t>演练并提交报告，提升应对突发事件的能力</w:t>
      </w:r>
      <w:r>
        <w:rPr>
          <w:rFonts w:hAnsi="宋体" w:cs="宋体" w:hint="eastAsia"/>
          <w:color w:val="000000" w:themeColor="text1"/>
          <w:szCs w:val="21"/>
        </w:rPr>
        <w:t>，</w:t>
      </w:r>
      <w:r>
        <w:rPr>
          <w:rFonts w:hAnsi="宋体" w:cs="宋体" w:hint="eastAsia"/>
          <w:color w:val="000000" w:themeColor="text1"/>
          <w:szCs w:val="21"/>
        </w:rPr>
        <w:t>确保展会活动安全有序运营</w:t>
      </w:r>
      <w:r>
        <w:rPr>
          <w:rFonts w:hAnsi="宋体" w:cs="宋体" w:hint="eastAsia"/>
          <w:color w:val="000000" w:themeColor="text1"/>
          <w:szCs w:val="21"/>
        </w:rPr>
        <w:t>。</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7.4 </w:t>
      </w:r>
      <w:r>
        <w:rPr>
          <w:rFonts w:ascii="黑体" w:eastAsia="黑体" w:hAnsi="黑体" w:cs="黑体" w:hint="eastAsia"/>
          <w:color w:val="000000" w:themeColor="text1"/>
        </w:rPr>
        <w:t>服务持续改进</w:t>
      </w:r>
    </w:p>
    <w:p w:rsidR="005F1593" w:rsidRDefault="00F54415">
      <w:pPr>
        <w:pStyle w:val="afa"/>
        <w:spacing w:line="300" w:lineRule="auto"/>
        <w:ind w:firstLine="420"/>
        <w:rPr>
          <w:rFonts w:hAnsi="宋体" w:cs="宋体"/>
          <w:color w:val="000000" w:themeColor="text1"/>
          <w:szCs w:val="21"/>
        </w:rPr>
      </w:pPr>
      <w:r>
        <w:rPr>
          <w:rFonts w:hAnsi="宋体" w:cs="宋体" w:hint="eastAsia"/>
          <w:color w:val="000000" w:themeColor="text1"/>
          <w:szCs w:val="21"/>
        </w:rPr>
        <w:t>建立双闭环优化机制，基于系统日志分析和用户满意度调研，定期输出改进方案，持续优化服务。</w:t>
      </w:r>
    </w:p>
    <w:p w:rsidR="005F1593" w:rsidRDefault="00F54415">
      <w:pPr>
        <w:pStyle w:val="afa"/>
        <w:spacing w:line="300" w:lineRule="auto"/>
        <w:ind w:firstLineChars="0" w:firstLine="0"/>
        <w:rPr>
          <w:rFonts w:ascii="黑体" w:eastAsia="黑体" w:hAnsi="黑体" w:cs="黑体"/>
          <w:color w:val="000000" w:themeColor="text1"/>
        </w:rPr>
      </w:pPr>
      <w:r>
        <w:rPr>
          <w:rFonts w:ascii="黑体" w:eastAsia="黑体" w:hAnsi="黑体" w:cs="黑体" w:hint="eastAsia"/>
          <w:color w:val="000000" w:themeColor="text1"/>
        </w:rPr>
        <w:t xml:space="preserve">7.5 </w:t>
      </w:r>
      <w:r>
        <w:rPr>
          <w:rFonts w:ascii="黑体" w:eastAsia="黑体" w:hAnsi="黑体" w:cs="黑体" w:hint="eastAsia"/>
          <w:color w:val="000000" w:themeColor="text1"/>
        </w:rPr>
        <w:t>合</w:t>
      </w:r>
      <w:proofErr w:type="gramStart"/>
      <w:r>
        <w:rPr>
          <w:rFonts w:ascii="黑体" w:eastAsia="黑体" w:hAnsi="黑体" w:cs="黑体" w:hint="eastAsia"/>
          <w:color w:val="000000" w:themeColor="text1"/>
        </w:rPr>
        <w:t>规</w:t>
      </w:r>
      <w:proofErr w:type="gramEnd"/>
      <w:r>
        <w:rPr>
          <w:rFonts w:ascii="黑体" w:eastAsia="黑体" w:hAnsi="黑体" w:cs="黑体" w:hint="eastAsia"/>
          <w:color w:val="000000" w:themeColor="text1"/>
        </w:rPr>
        <w:t>审计保障</w:t>
      </w:r>
    </w:p>
    <w:p w:rsidR="005F1593" w:rsidRDefault="00F54415">
      <w:pPr>
        <w:pStyle w:val="a7"/>
        <w:numPr>
          <w:ilvl w:val="2"/>
          <w:numId w:val="0"/>
        </w:numPr>
        <w:spacing w:line="300" w:lineRule="auto"/>
        <w:ind w:firstLineChars="200" w:firstLine="420"/>
        <w:rPr>
          <w:rFonts w:hAnsi="宋体" w:cs="宋体"/>
          <w:color w:val="000000" w:themeColor="text1"/>
          <w:szCs w:val="21"/>
        </w:rPr>
      </w:pPr>
      <w:r>
        <w:rPr>
          <w:rFonts w:hAnsi="宋体" w:cs="宋体" w:hint="eastAsia"/>
          <w:color w:val="000000" w:themeColor="text1"/>
          <w:szCs w:val="21"/>
        </w:rPr>
        <w:t>委托具备相关资质的第三方机构，定期开展网络安全和数据合</w:t>
      </w:r>
      <w:proofErr w:type="gramStart"/>
      <w:r>
        <w:rPr>
          <w:rFonts w:hAnsi="宋体" w:cs="宋体" w:hint="eastAsia"/>
          <w:color w:val="000000" w:themeColor="text1"/>
          <w:szCs w:val="21"/>
        </w:rPr>
        <w:t>规</w:t>
      </w:r>
      <w:proofErr w:type="gramEnd"/>
      <w:r>
        <w:rPr>
          <w:rFonts w:hAnsi="宋体" w:cs="宋体" w:hint="eastAsia"/>
          <w:color w:val="000000" w:themeColor="text1"/>
          <w:szCs w:val="21"/>
        </w:rPr>
        <w:t>审计，审计结果</w:t>
      </w:r>
      <w:r>
        <w:rPr>
          <w:rFonts w:hAnsi="宋体" w:cs="宋体" w:hint="eastAsia"/>
          <w:color w:val="000000" w:themeColor="text1"/>
          <w:szCs w:val="21"/>
        </w:rPr>
        <w:t>通过展会官方网站进行</w:t>
      </w:r>
      <w:r>
        <w:rPr>
          <w:rFonts w:hAnsi="宋体" w:cs="宋体" w:hint="eastAsia"/>
          <w:color w:val="000000" w:themeColor="text1"/>
          <w:szCs w:val="21"/>
        </w:rPr>
        <w:t>公示。</w:t>
      </w:r>
    </w:p>
    <w:sectPr w:rsidR="005F1593">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415" w:rsidRDefault="00F54415">
      <w:r>
        <w:separator/>
      </w:r>
    </w:p>
  </w:endnote>
  <w:endnote w:type="continuationSeparator" w:id="0">
    <w:p w:rsidR="00F54415" w:rsidRDefault="00F5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593" w:rsidRDefault="00F54415">
    <w:pPr>
      <w:pStyle w:val="af2"/>
    </w:pPr>
    <w:r>
      <w:rPr>
        <w:rFonts w:hint="eastAsia"/>
      </w:rPr>
      <w:t>Ⅱ</w: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1593" w:rsidRDefault="005F1593">
                          <w:pPr>
                            <w:pStyle w:val="af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F1593" w:rsidRDefault="005F1593">
                    <w:pPr>
                      <w:pStyle w:val="af2"/>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593" w:rsidRDefault="00F54415">
    <w:pPr>
      <w:pStyle w:val="af2"/>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1593" w:rsidRDefault="00F54415">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F1593" w:rsidRDefault="00F54415">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1593" w:rsidRDefault="005F1593">
                          <w:pPr>
                            <w:pStyle w:val="af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5F1593" w:rsidRDefault="005F1593">
                    <w:pPr>
                      <w:pStyle w:val="af2"/>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415" w:rsidRDefault="00F54415">
      <w:r>
        <w:separator/>
      </w:r>
    </w:p>
  </w:footnote>
  <w:footnote w:type="continuationSeparator" w:id="0">
    <w:p w:rsidR="00F54415" w:rsidRDefault="00F54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pStyle w:val="a0"/>
      <w:suff w:val="nothing"/>
      <w:lvlText w:val="%10.%2 "/>
      <w:lvlJc w:val="left"/>
      <w:pPr>
        <w:ind w:left="0" w:firstLine="0"/>
      </w:pPr>
      <w:rPr>
        <w:rFonts w:ascii="黑体" w:eastAsia="黑体" w:hAnsiTheme="minorHAnsi" w:hint="eastAsia"/>
        <w:b w:val="0"/>
        <w:i w:val="0"/>
        <w:sz w:val="21"/>
      </w:rPr>
    </w:lvl>
    <w:lvl w:ilvl="2">
      <w:start w:val="1"/>
      <w:numFmt w:val="decimal"/>
      <w:pStyle w:val="a1"/>
      <w:suff w:val="nothing"/>
      <w:lvlText w:val="%10.%2.%3 "/>
      <w:lvlJc w:val="left"/>
      <w:pPr>
        <w:ind w:left="0" w:firstLine="0"/>
      </w:pPr>
      <w:rPr>
        <w:rFonts w:ascii="黑体" w:eastAsia="黑体" w:hAnsiTheme="minorHAnsi" w:hint="eastAsia"/>
        <w:b w:val="0"/>
        <w:i w:val="0"/>
        <w:sz w:val="21"/>
      </w:rPr>
    </w:lvl>
    <w:lvl w:ilvl="3">
      <w:start w:val="1"/>
      <w:numFmt w:val="decimal"/>
      <w:pStyle w:val="a2"/>
      <w:suff w:val="nothing"/>
      <w:lvlText w:val="%10.%2.%3.%4 "/>
      <w:lvlJc w:val="left"/>
      <w:pPr>
        <w:ind w:left="0" w:firstLine="0"/>
      </w:pPr>
      <w:rPr>
        <w:rFonts w:ascii="黑体" w:eastAsia="黑体" w:hAnsiTheme="minorHAnsi" w:hint="eastAsia"/>
        <w:b w:val="0"/>
        <w:i w:val="0"/>
        <w:sz w:val="21"/>
      </w:rPr>
    </w:lvl>
    <w:lvl w:ilvl="4">
      <w:start w:val="1"/>
      <w:numFmt w:val="decimal"/>
      <w:pStyle w:val="a3"/>
      <w:suff w:val="nothing"/>
      <w:lvlText w:val="%10.%2.%3.%4.%5 "/>
      <w:lvlJc w:val="left"/>
      <w:pPr>
        <w:ind w:left="0" w:firstLine="0"/>
      </w:pPr>
      <w:rPr>
        <w:rFonts w:ascii="黑体" w:eastAsia="黑体" w:hAnsiTheme="minorHAnsi" w:hint="eastAsia"/>
        <w:b w:val="0"/>
        <w:i w:val="0"/>
        <w:sz w:val="21"/>
      </w:rPr>
    </w:lvl>
    <w:lvl w:ilvl="5">
      <w:start w:val="1"/>
      <w:numFmt w:val="decimal"/>
      <w:pStyle w:val="a4"/>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CEA2025"/>
    <w:multiLevelType w:val="multilevel"/>
    <w:tmpl w:val="6CEA2025"/>
    <w:lvl w:ilvl="0">
      <w:start w:val="1"/>
      <w:numFmt w:val="none"/>
      <w:pStyle w:val="a5"/>
      <w:suff w:val="nothing"/>
      <w:lvlText w:val="%1"/>
      <w:lvlJc w:val="left"/>
      <w:pPr>
        <w:ind w:left="0" w:firstLine="0"/>
      </w:pPr>
      <w:rPr>
        <w:rFonts w:hint="eastAsia"/>
      </w:rPr>
    </w:lvl>
    <w:lvl w:ilvl="1">
      <w:start w:val="1"/>
      <w:numFmt w:val="decimal"/>
      <w:pStyle w:val="a6"/>
      <w:suff w:val="nothing"/>
      <w:lvlText w:val="%1%2　"/>
      <w:lvlJc w:val="left"/>
      <w:pPr>
        <w:ind w:left="0" w:firstLine="0"/>
      </w:pPr>
      <w:rPr>
        <w:rFonts w:ascii="黑体" w:eastAsia="黑体" w:hint="eastAsia"/>
        <w:b w:val="0"/>
        <w:i w:val="0"/>
        <w:sz w:val="21"/>
      </w:rPr>
    </w:lvl>
    <w:lvl w:ilvl="2">
      <w:start w:val="1"/>
      <w:numFmt w:val="decimal"/>
      <w:pStyle w:val="a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8"/>
      <w:suff w:val="nothing"/>
      <w:lvlText w:val="%1%2.%3.%4　"/>
      <w:lvlJc w:val="left"/>
      <w:pPr>
        <w:ind w:left="0" w:firstLine="0"/>
      </w:pPr>
      <w:rPr>
        <w:rFonts w:ascii="黑体" w:eastAsia="黑体" w:hint="eastAsia"/>
        <w:b w:val="0"/>
        <w:i w:val="0"/>
        <w:sz w:val="21"/>
      </w:rPr>
    </w:lvl>
    <w:lvl w:ilvl="4">
      <w:start w:val="1"/>
      <w:numFmt w:val="decimal"/>
      <w:pStyle w:val="a9"/>
      <w:suff w:val="nothing"/>
      <w:lvlText w:val="%1%2.%3.%4.%5　"/>
      <w:lvlJc w:val="left"/>
      <w:pPr>
        <w:ind w:left="0" w:firstLine="0"/>
      </w:pPr>
      <w:rPr>
        <w:rFonts w:ascii="黑体" w:eastAsia="黑体" w:hint="eastAsia"/>
        <w:b w:val="0"/>
        <w:i w:val="0"/>
        <w:sz w:val="21"/>
      </w:rPr>
    </w:lvl>
    <w:lvl w:ilvl="5">
      <w:start w:val="1"/>
      <w:numFmt w:val="decimal"/>
      <w:pStyle w:val="aa"/>
      <w:suff w:val="nothing"/>
      <w:lvlText w:val="%1%2.%3.%4.%5.%6　"/>
      <w:lvlJc w:val="left"/>
      <w:pPr>
        <w:ind w:left="0" w:firstLine="0"/>
      </w:pPr>
      <w:rPr>
        <w:rFonts w:ascii="黑体" w:eastAsia="黑体" w:hint="eastAsia"/>
        <w:b w:val="0"/>
        <w:i w:val="0"/>
        <w:sz w:val="21"/>
      </w:rPr>
    </w:lvl>
    <w:lvl w:ilvl="6">
      <w:start w:val="1"/>
      <w:numFmt w:val="decimal"/>
      <w:pStyle w:val="a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1Njg3ZWI3MjExODhkZWJiNmYwN2VmMTcwMWJkZjAifQ=="/>
    <w:docVar w:name="KSO_WPS_MARK_KEY" w:val="358f6c5d-0496-4383-bf5c-e3dce405ea09"/>
  </w:docVars>
  <w:rsids>
    <w:rsidRoot w:val="007662B1"/>
    <w:rsid w:val="AFFFB9BF"/>
    <w:rsid w:val="BFFCCCD4"/>
    <w:rsid w:val="DFE3374A"/>
    <w:rsid w:val="00084BE3"/>
    <w:rsid w:val="00101FF7"/>
    <w:rsid w:val="00157A6F"/>
    <w:rsid w:val="001C175F"/>
    <w:rsid w:val="001C5433"/>
    <w:rsid w:val="001D67DB"/>
    <w:rsid w:val="001E564E"/>
    <w:rsid w:val="0025087F"/>
    <w:rsid w:val="002D255B"/>
    <w:rsid w:val="002E757B"/>
    <w:rsid w:val="002F5B4A"/>
    <w:rsid w:val="00411119"/>
    <w:rsid w:val="004179AE"/>
    <w:rsid w:val="00430625"/>
    <w:rsid w:val="00463173"/>
    <w:rsid w:val="004668AB"/>
    <w:rsid w:val="004B7793"/>
    <w:rsid w:val="004E2DF0"/>
    <w:rsid w:val="005265DB"/>
    <w:rsid w:val="005412C2"/>
    <w:rsid w:val="005813CF"/>
    <w:rsid w:val="00581955"/>
    <w:rsid w:val="00595148"/>
    <w:rsid w:val="005B3699"/>
    <w:rsid w:val="005E4A6A"/>
    <w:rsid w:val="005E6079"/>
    <w:rsid w:val="005F1593"/>
    <w:rsid w:val="0060214C"/>
    <w:rsid w:val="00640E16"/>
    <w:rsid w:val="0067400F"/>
    <w:rsid w:val="006E70A3"/>
    <w:rsid w:val="00706293"/>
    <w:rsid w:val="007662B1"/>
    <w:rsid w:val="007972E4"/>
    <w:rsid w:val="007A53B5"/>
    <w:rsid w:val="007A5C84"/>
    <w:rsid w:val="007C0BD9"/>
    <w:rsid w:val="007C4ADC"/>
    <w:rsid w:val="008108EE"/>
    <w:rsid w:val="008744A9"/>
    <w:rsid w:val="00891CAE"/>
    <w:rsid w:val="008B5F54"/>
    <w:rsid w:val="009510BE"/>
    <w:rsid w:val="009D2ADF"/>
    <w:rsid w:val="00A35C19"/>
    <w:rsid w:val="00A92D1F"/>
    <w:rsid w:val="00A94D87"/>
    <w:rsid w:val="00AC19A2"/>
    <w:rsid w:val="00BB1880"/>
    <w:rsid w:val="00C06E28"/>
    <w:rsid w:val="00CE6801"/>
    <w:rsid w:val="00CE6930"/>
    <w:rsid w:val="00D20DAC"/>
    <w:rsid w:val="00D36BAB"/>
    <w:rsid w:val="00D975C6"/>
    <w:rsid w:val="00DB6C6D"/>
    <w:rsid w:val="00DC4045"/>
    <w:rsid w:val="00E526E0"/>
    <w:rsid w:val="00E7277B"/>
    <w:rsid w:val="00EB1EE4"/>
    <w:rsid w:val="00ED750F"/>
    <w:rsid w:val="00F37DA9"/>
    <w:rsid w:val="00F54415"/>
    <w:rsid w:val="00F70AD0"/>
    <w:rsid w:val="00F71F7F"/>
    <w:rsid w:val="00F85CC1"/>
    <w:rsid w:val="00FC7180"/>
    <w:rsid w:val="025F383A"/>
    <w:rsid w:val="03E561F7"/>
    <w:rsid w:val="07584902"/>
    <w:rsid w:val="09640EF1"/>
    <w:rsid w:val="0A7456B6"/>
    <w:rsid w:val="0CEE7B20"/>
    <w:rsid w:val="0F1F2894"/>
    <w:rsid w:val="104E30BA"/>
    <w:rsid w:val="15BD1974"/>
    <w:rsid w:val="17023577"/>
    <w:rsid w:val="1A0F6516"/>
    <w:rsid w:val="1A75281D"/>
    <w:rsid w:val="1A8C35B6"/>
    <w:rsid w:val="1C7D62CF"/>
    <w:rsid w:val="1F794953"/>
    <w:rsid w:val="1FF1578B"/>
    <w:rsid w:val="2116155B"/>
    <w:rsid w:val="213D01DE"/>
    <w:rsid w:val="224A458F"/>
    <w:rsid w:val="22632C71"/>
    <w:rsid w:val="22BE4B0E"/>
    <w:rsid w:val="22CA3770"/>
    <w:rsid w:val="233838DD"/>
    <w:rsid w:val="235D6783"/>
    <w:rsid w:val="24197674"/>
    <w:rsid w:val="241F4549"/>
    <w:rsid w:val="244B5297"/>
    <w:rsid w:val="24596D0B"/>
    <w:rsid w:val="282F06A2"/>
    <w:rsid w:val="2930483A"/>
    <w:rsid w:val="31815AF3"/>
    <w:rsid w:val="35074973"/>
    <w:rsid w:val="378F6F43"/>
    <w:rsid w:val="39095552"/>
    <w:rsid w:val="3B971C67"/>
    <w:rsid w:val="3BCCB324"/>
    <w:rsid w:val="3CDC4211"/>
    <w:rsid w:val="3D112421"/>
    <w:rsid w:val="3E4B38E3"/>
    <w:rsid w:val="42B65D16"/>
    <w:rsid w:val="42F64C88"/>
    <w:rsid w:val="4318054A"/>
    <w:rsid w:val="43A1722F"/>
    <w:rsid w:val="47E36D53"/>
    <w:rsid w:val="49435EE8"/>
    <w:rsid w:val="495901D4"/>
    <w:rsid w:val="4D4F1C0A"/>
    <w:rsid w:val="50F722C4"/>
    <w:rsid w:val="51316796"/>
    <w:rsid w:val="51844B18"/>
    <w:rsid w:val="52554706"/>
    <w:rsid w:val="547A490B"/>
    <w:rsid w:val="55661D64"/>
    <w:rsid w:val="58B45D80"/>
    <w:rsid w:val="58DF6FF1"/>
    <w:rsid w:val="5A065F99"/>
    <w:rsid w:val="5A3A490E"/>
    <w:rsid w:val="5E1B2CA8"/>
    <w:rsid w:val="5EED00D0"/>
    <w:rsid w:val="60F20C1A"/>
    <w:rsid w:val="61034826"/>
    <w:rsid w:val="613D4CE3"/>
    <w:rsid w:val="6B2A62D8"/>
    <w:rsid w:val="6C4A1BF3"/>
    <w:rsid w:val="6CB41AC1"/>
    <w:rsid w:val="6D9363EF"/>
    <w:rsid w:val="6E283028"/>
    <w:rsid w:val="6E555705"/>
    <w:rsid w:val="70393BE0"/>
    <w:rsid w:val="720909ED"/>
    <w:rsid w:val="73117092"/>
    <w:rsid w:val="756764FA"/>
    <w:rsid w:val="75727C06"/>
    <w:rsid w:val="75784DA2"/>
    <w:rsid w:val="78BC2F1F"/>
    <w:rsid w:val="79951274"/>
    <w:rsid w:val="7AD86D8B"/>
    <w:rsid w:val="7BF9B194"/>
    <w:rsid w:val="7D5F64E3"/>
    <w:rsid w:val="7D6C09D3"/>
    <w:rsid w:val="7F1A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1C0B"/>
  <w15:docId w15:val="{5251F87B-0A48-47DA-AAEF-F06232A1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c"/>
    <w:next w:val="ac"/>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annotation text"/>
    <w:basedOn w:val="ac"/>
    <w:link w:val="af1"/>
    <w:uiPriority w:val="99"/>
    <w:semiHidden/>
    <w:unhideWhenUsed/>
    <w:qFormat/>
    <w:pPr>
      <w:jc w:val="left"/>
    </w:pPr>
  </w:style>
  <w:style w:type="paragraph" w:styleId="af2">
    <w:name w:val="footer"/>
    <w:basedOn w:val="ac"/>
    <w:uiPriority w:val="99"/>
    <w:qFormat/>
    <w:pPr>
      <w:tabs>
        <w:tab w:val="center" w:pos="4153"/>
        <w:tab w:val="right" w:pos="8306"/>
      </w:tabs>
      <w:snapToGrid w:val="0"/>
      <w:jc w:val="right"/>
    </w:pPr>
    <w:rPr>
      <w:rFonts w:ascii="宋体"/>
      <w:sz w:val="18"/>
      <w:szCs w:val="18"/>
    </w:rPr>
  </w:style>
  <w:style w:type="paragraph" w:styleId="af3">
    <w:name w:val="header"/>
    <w:basedOn w:val="ac"/>
    <w:uiPriority w:val="99"/>
    <w:qFormat/>
    <w:pPr>
      <w:tabs>
        <w:tab w:val="center" w:pos="4153"/>
        <w:tab w:val="right" w:pos="8306"/>
      </w:tabs>
      <w:snapToGrid w:val="0"/>
      <w:jc w:val="center"/>
    </w:pPr>
    <w:rPr>
      <w:sz w:val="18"/>
      <w:szCs w:val="18"/>
    </w:rPr>
  </w:style>
  <w:style w:type="paragraph" w:styleId="TOC1">
    <w:name w:val="toc 1"/>
    <w:basedOn w:val="ac"/>
    <w:next w:val="ac"/>
    <w:uiPriority w:val="39"/>
    <w:unhideWhenUsed/>
    <w:qFormat/>
    <w:rPr>
      <w:rFonts w:ascii="宋体"/>
    </w:rPr>
  </w:style>
  <w:style w:type="paragraph" w:styleId="af4">
    <w:name w:val="Normal (Web)"/>
    <w:basedOn w:val="ac"/>
    <w:uiPriority w:val="99"/>
    <w:semiHidden/>
    <w:unhideWhenUsed/>
    <w:qFormat/>
    <w:pPr>
      <w:spacing w:beforeAutospacing="1" w:afterAutospacing="1"/>
      <w:jc w:val="left"/>
    </w:pPr>
    <w:rPr>
      <w:rFonts w:cs="Times New Roman"/>
      <w:kern w:val="0"/>
      <w:sz w:val="24"/>
    </w:rPr>
  </w:style>
  <w:style w:type="paragraph" w:styleId="af5">
    <w:name w:val="annotation subject"/>
    <w:basedOn w:val="af0"/>
    <w:next w:val="af0"/>
    <w:link w:val="af6"/>
    <w:uiPriority w:val="99"/>
    <w:semiHidden/>
    <w:unhideWhenUsed/>
    <w:qFormat/>
    <w:rPr>
      <w:b/>
      <w:bCs/>
    </w:rPr>
  </w:style>
  <w:style w:type="character" w:styleId="af7">
    <w:name w:val="Strong"/>
    <w:basedOn w:val="ad"/>
    <w:uiPriority w:val="22"/>
    <w:qFormat/>
    <w:rPr>
      <w:b/>
    </w:rPr>
  </w:style>
  <w:style w:type="character" w:styleId="af8">
    <w:name w:val="Hyperlink"/>
    <w:uiPriority w:val="99"/>
    <w:qFormat/>
    <w:rPr>
      <w:rFonts w:ascii="宋体" w:eastAsia="宋体" w:hAnsi="Times New Roman"/>
      <w:color w:val="auto"/>
      <w:spacing w:val="0"/>
      <w:w w:val="100"/>
      <w:position w:val="0"/>
      <w:sz w:val="21"/>
      <w:u w:val="none"/>
      <w:vertAlign w:val="baseline"/>
    </w:rPr>
  </w:style>
  <w:style w:type="character" w:styleId="af9">
    <w:name w:val="annotation reference"/>
    <w:basedOn w:val="ad"/>
    <w:uiPriority w:val="99"/>
    <w:semiHidden/>
    <w:unhideWhenUsed/>
    <w:qFormat/>
    <w:rPr>
      <w:sz w:val="21"/>
      <w:szCs w:val="21"/>
    </w:rPr>
  </w:style>
  <w:style w:type="paragraph" w:customStyle="1" w:styleId="afa">
    <w:name w:val="标准文件_段"/>
    <w:link w:val="Char"/>
    <w:qFormat/>
    <w:pPr>
      <w:autoSpaceDE w:val="0"/>
      <w:autoSpaceDN w:val="0"/>
      <w:ind w:firstLineChars="200" w:firstLine="200"/>
      <w:jc w:val="both"/>
    </w:pPr>
    <w:rPr>
      <w:rFonts w:ascii="宋体"/>
      <w:sz w:val="21"/>
    </w:rPr>
  </w:style>
  <w:style w:type="paragraph" w:customStyle="1" w:styleId="a">
    <w:name w:val="标准文件_前言、引言标题"/>
    <w:next w:val="ac"/>
    <w:qFormat/>
    <w:pPr>
      <w:numPr>
        <w:numId w:val="1"/>
      </w:numPr>
      <w:shd w:val="clear" w:color="FFFFFF" w:fill="FFFFFF"/>
      <w:spacing w:before="480" w:afterLines="150" w:after="150"/>
      <w:jc w:val="center"/>
      <w:outlineLvl w:val="0"/>
    </w:pPr>
    <w:rPr>
      <w:rFonts w:ascii="黑体" w:eastAsia="黑体"/>
      <w:sz w:val="32"/>
    </w:rPr>
  </w:style>
  <w:style w:type="character" w:customStyle="1" w:styleId="Char">
    <w:name w:val="标准文件_段 Char"/>
    <w:link w:val="afa"/>
    <w:qFormat/>
    <w:rPr>
      <w:rFonts w:ascii="宋体" w:eastAsia="宋体" w:hAnsi="Times New Roman" w:cs="Times New Roman"/>
      <w:kern w:val="0"/>
      <w:szCs w:val="20"/>
    </w:rPr>
  </w:style>
  <w:style w:type="paragraph" w:customStyle="1" w:styleId="a0">
    <w:name w:val="标准文件_引言一级条标题"/>
    <w:basedOn w:val="afa"/>
    <w:next w:val="afa"/>
    <w:qFormat/>
    <w:pPr>
      <w:numPr>
        <w:ilvl w:val="1"/>
        <w:numId w:val="1"/>
      </w:numPr>
      <w:tabs>
        <w:tab w:val="left" w:pos="360"/>
      </w:tabs>
      <w:spacing w:beforeLines="50" w:before="50" w:afterLines="50" w:after="50"/>
      <w:ind w:firstLineChars="0" w:firstLine="200"/>
    </w:pPr>
    <w:rPr>
      <w:rFonts w:ascii="黑体" w:eastAsia="黑体"/>
    </w:rPr>
  </w:style>
  <w:style w:type="paragraph" w:customStyle="1" w:styleId="a1">
    <w:name w:val="标准文件_引言二级条标题"/>
    <w:basedOn w:val="afa"/>
    <w:next w:val="afa"/>
    <w:qFormat/>
    <w:pPr>
      <w:numPr>
        <w:ilvl w:val="2"/>
        <w:numId w:val="1"/>
      </w:numPr>
      <w:tabs>
        <w:tab w:val="left" w:pos="360"/>
      </w:tabs>
      <w:spacing w:beforeLines="50" w:before="50" w:afterLines="50" w:after="50"/>
      <w:ind w:firstLineChars="0" w:firstLine="200"/>
    </w:pPr>
    <w:rPr>
      <w:rFonts w:ascii="黑体" w:eastAsia="黑体"/>
    </w:rPr>
  </w:style>
  <w:style w:type="paragraph" w:customStyle="1" w:styleId="a2">
    <w:name w:val="标准文件_引言三级条标题"/>
    <w:basedOn w:val="afa"/>
    <w:next w:val="afa"/>
    <w:qFormat/>
    <w:pPr>
      <w:numPr>
        <w:ilvl w:val="3"/>
        <w:numId w:val="1"/>
      </w:numPr>
      <w:tabs>
        <w:tab w:val="left" w:pos="360"/>
      </w:tabs>
      <w:spacing w:beforeLines="50" w:before="50" w:afterLines="50" w:after="50"/>
      <w:ind w:firstLineChars="0" w:firstLine="200"/>
    </w:pPr>
    <w:rPr>
      <w:rFonts w:ascii="黑体" w:eastAsia="黑体"/>
    </w:rPr>
  </w:style>
  <w:style w:type="paragraph" w:customStyle="1" w:styleId="a3">
    <w:name w:val="标准文件_引言四级条标题"/>
    <w:basedOn w:val="afa"/>
    <w:next w:val="afa"/>
    <w:qFormat/>
    <w:pPr>
      <w:numPr>
        <w:ilvl w:val="4"/>
        <w:numId w:val="1"/>
      </w:numPr>
      <w:tabs>
        <w:tab w:val="left" w:pos="360"/>
      </w:tabs>
      <w:spacing w:beforeLines="50" w:before="50" w:afterLines="50" w:after="50"/>
      <w:ind w:firstLineChars="0" w:firstLine="200"/>
    </w:pPr>
    <w:rPr>
      <w:rFonts w:ascii="黑体" w:eastAsia="黑体"/>
    </w:rPr>
  </w:style>
  <w:style w:type="paragraph" w:customStyle="1" w:styleId="a4">
    <w:name w:val="标准文件_引言五级条标题"/>
    <w:basedOn w:val="afa"/>
    <w:next w:val="afa"/>
    <w:qFormat/>
    <w:pPr>
      <w:numPr>
        <w:ilvl w:val="5"/>
        <w:numId w:val="1"/>
      </w:numPr>
      <w:tabs>
        <w:tab w:val="left" w:pos="360"/>
      </w:tabs>
      <w:spacing w:beforeLines="50" w:before="50" w:afterLines="50" w:after="50"/>
      <w:ind w:firstLineChars="0" w:firstLine="200"/>
    </w:pPr>
    <w:rPr>
      <w:rFonts w:ascii="黑体" w:eastAsia="黑体"/>
    </w:rPr>
  </w:style>
  <w:style w:type="paragraph" w:customStyle="1" w:styleId="a8">
    <w:name w:val="标准文件_二级条标题"/>
    <w:next w:val="afa"/>
    <w:qFormat/>
    <w:pPr>
      <w:widowControl w:val="0"/>
      <w:numPr>
        <w:ilvl w:val="3"/>
        <w:numId w:val="2"/>
      </w:numPr>
      <w:spacing w:beforeLines="50" w:before="50" w:afterLines="50" w:after="50"/>
      <w:jc w:val="both"/>
      <w:outlineLvl w:val="2"/>
    </w:pPr>
    <w:rPr>
      <w:rFonts w:ascii="黑体" w:eastAsia="黑体"/>
      <w:sz w:val="21"/>
    </w:rPr>
  </w:style>
  <w:style w:type="paragraph" w:customStyle="1" w:styleId="a9">
    <w:name w:val="标准文件_三级条标题"/>
    <w:basedOn w:val="a8"/>
    <w:next w:val="afa"/>
    <w:qFormat/>
    <w:pPr>
      <w:widowControl/>
      <w:numPr>
        <w:ilvl w:val="4"/>
      </w:numPr>
      <w:outlineLvl w:val="3"/>
    </w:pPr>
  </w:style>
  <w:style w:type="paragraph" w:customStyle="1" w:styleId="aa">
    <w:name w:val="标准文件_四级条标题"/>
    <w:next w:val="afa"/>
    <w:qFormat/>
    <w:pPr>
      <w:widowControl w:val="0"/>
      <w:numPr>
        <w:ilvl w:val="5"/>
        <w:numId w:val="2"/>
      </w:numPr>
      <w:spacing w:beforeLines="50" w:before="50" w:afterLines="50" w:after="50"/>
      <w:jc w:val="both"/>
      <w:outlineLvl w:val="4"/>
    </w:pPr>
    <w:rPr>
      <w:rFonts w:ascii="黑体" w:eastAsia="黑体"/>
      <w:sz w:val="21"/>
    </w:rPr>
  </w:style>
  <w:style w:type="paragraph" w:customStyle="1" w:styleId="ab">
    <w:name w:val="标准文件_五级条标题"/>
    <w:next w:val="afa"/>
    <w:qFormat/>
    <w:pPr>
      <w:widowControl w:val="0"/>
      <w:numPr>
        <w:ilvl w:val="6"/>
        <w:numId w:val="2"/>
      </w:numPr>
      <w:spacing w:beforeLines="50" w:before="50" w:afterLines="50" w:after="50"/>
      <w:jc w:val="both"/>
      <w:outlineLvl w:val="5"/>
    </w:pPr>
    <w:rPr>
      <w:rFonts w:ascii="黑体" w:eastAsia="黑体"/>
      <w:sz w:val="21"/>
    </w:rPr>
  </w:style>
  <w:style w:type="paragraph" w:customStyle="1" w:styleId="a6">
    <w:name w:val="标准文件_章标题"/>
    <w:next w:val="afa"/>
    <w:qFormat/>
    <w:pPr>
      <w:numPr>
        <w:ilvl w:val="1"/>
        <w:numId w:val="2"/>
      </w:numPr>
      <w:spacing w:beforeLines="100" w:before="100" w:afterLines="100" w:after="100"/>
      <w:jc w:val="both"/>
      <w:outlineLvl w:val="0"/>
    </w:pPr>
    <w:rPr>
      <w:rFonts w:ascii="黑体" w:eastAsia="黑体"/>
      <w:sz w:val="21"/>
    </w:rPr>
  </w:style>
  <w:style w:type="paragraph" w:customStyle="1" w:styleId="afb">
    <w:name w:val="标准文件_一级条标题"/>
    <w:basedOn w:val="a6"/>
    <w:next w:val="afa"/>
    <w:qFormat/>
    <w:pPr>
      <w:numPr>
        <w:ilvl w:val="0"/>
        <w:numId w:val="0"/>
      </w:numPr>
      <w:spacing w:beforeLines="50" w:before="50" w:afterLines="50" w:after="50"/>
      <w:outlineLvl w:val="1"/>
    </w:pPr>
  </w:style>
  <w:style w:type="paragraph" w:customStyle="1" w:styleId="a5">
    <w:name w:val="前言标题"/>
    <w:next w:val="ac"/>
    <w:qFormat/>
    <w:pPr>
      <w:numPr>
        <w:numId w:val="2"/>
      </w:numPr>
      <w:shd w:val="clear" w:color="FFFFFF" w:fill="FFFFFF"/>
      <w:spacing w:before="540" w:after="600"/>
      <w:jc w:val="center"/>
      <w:outlineLvl w:val="0"/>
    </w:pPr>
    <w:rPr>
      <w:rFonts w:ascii="黑体" w:eastAsia="黑体"/>
      <w:sz w:val="32"/>
    </w:rPr>
  </w:style>
  <w:style w:type="paragraph" w:customStyle="1" w:styleId="a7">
    <w:name w:val="标准文件_术语条一"/>
    <w:basedOn w:val="ac"/>
    <w:next w:val="afa"/>
    <w:qFormat/>
    <w:pPr>
      <w:widowControl/>
      <w:numPr>
        <w:ilvl w:val="2"/>
        <w:numId w:val="2"/>
      </w:numPr>
    </w:pPr>
    <w:rPr>
      <w:rFonts w:ascii="宋体" w:eastAsia="宋体" w:hAnsi="Times New Roman" w:cs="Times New Roman"/>
      <w:kern w:val="0"/>
      <w:szCs w:val="20"/>
    </w:rPr>
  </w:style>
  <w:style w:type="paragraph" w:customStyle="1" w:styleId="afc">
    <w:name w:val="标准文件_二级无标题"/>
    <w:basedOn w:val="a8"/>
    <w:qFormat/>
    <w:pPr>
      <w:spacing w:beforeLines="0" w:before="0" w:afterLines="0" w:after="0"/>
      <w:outlineLvl w:val="9"/>
    </w:pPr>
    <w:rPr>
      <w:rFonts w:ascii="宋体" w:eastAsia="宋体"/>
    </w:rPr>
  </w:style>
  <w:style w:type="paragraph" w:customStyle="1" w:styleId="a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e">
    <w:name w:val="标准文件_目录标题"/>
    <w:basedOn w:val="ac"/>
    <w:qFormat/>
    <w:pPr>
      <w:spacing w:before="480" w:afterLines="150" w:after="150"/>
      <w:jc w:val="center"/>
    </w:pPr>
    <w:rPr>
      <w:rFonts w:ascii="黑体" w:eastAsia="黑体"/>
      <w:sz w:val="32"/>
    </w:rPr>
  </w:style>
  <w:style w:type="character" w:customStyle="1" w:styleId="af1">
    <w:name w:val="批注文字 字符"/>
    <w:basedOn w:val="ad"/>
    <w:link w:val="af0"/>
    <w:uiPriority w:val="99"/>
    <w:semiHidden/>
    <w:qFormat/>
    <w:rPr>
      <w:rFonts w:asciiTheme="minorHAnsi" w:eastAsiaTheme="minorEastAsia" w:hAnsiTheme="minorHAnsi" w:cstheme="minorBidi"/>
      <w:kern w:val="2"/>
      <w:sz w:val="21"/>
      <w:szCs w:val="22"/>
    </w:rPr>
  </w:style>
  <w:style w:type="character" w:customStyle="1" w:styleId="af6">
    <w:name w:val="批注主题 字符"/>
    <w:basedOn w:val="af1"/>
    <w:link w:val="af5"/>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5A311-375F-4517-823B-2537F165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2025-04-09T09:12:00Z</dcterms:created>
  <dcterms:modified xsi:type="dcterms:W3CDTF">2025-05-29T05:26:00Z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53AD7447763441B4BFB2CC96BEE15045_13</vt:lpwstr>
  </property>
  <property fmtid="{D5CDD505-2E9C-101B-9397-08002B2CF9AE}" pid="4" name="KSOTemplateDocerSaveRecord">
    <vt:lpwstr>eyJoZGlkIjoiZThkNmViYjhmZWNlY2RiNDkzN2U2YmI1OTg2MDE3YzMiLCJ1c2VySWQiOiIzODQ5ODgwOTMifQ==</vt:lpwstr>
  </property>
</Properties>
</file>