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35BD" w14:textId="77777777" w:rsidR="00E47347" w:rsidRDefault="00F67137">
      <w:pPr>
        <w:adjustRightInd/>
        <w:snapToGrid/>
        <w:spacing w:after="0"/>
        <w:rPr>
          <w:rFonts w:ascii="Segoe UI" w:eastAsia="宋体" w:hAnsi="Segoe UI" w:cs="Segoe UI"/>
          <w:b/>
          <w:bCs/>
          <w:color w:val="333333"/>
          <w:sz w:val="44"/>
          <w:szCs w:val="44"/>
        </w:rPr>
      </w:pPr>
      <w:r>
        <w:rPr>
          <w:rFonts w:ascii="Segoe UI" w:eastAsia="宋体" w:hAnsi="Segoe UI" w:cs="Segoe UI" w:hint="eastAsia"/>
          <w:b/>
          <w:bCs/>
          <w:color w:val="333333"/>
          <w:sz w:val="44"/>
          <w:szCs w:val="44"/>
        </w:rPr>
        <w:t>喀左</w:t>
      </w:r>
      <w:r>
        <w:rPr>
          <w:rFonts w:ascii="Segoe UI" w:eastAsia="宋体" w:hAnsi="Segoe UI" w:cs="Segoe UI"/>
          <w:b/>
          <w:bCs/>
          <w:color w:val="333333"/>
          <w:sz w:val="44"/>
          <w:szCs w:val="44"/>
        </w:rPr>
        <w:t>县国家电子商务进农村综合示范项</w:t>
      </w:r>
      <w:r>
        <w:rPr>
          <w:rFonts w:ascii="Segoe UI" w:eastAsia="宋体" w:hAnsi="Segoe UI" w:cs="Segoe UI" w:hint="eastAsia"/>
          <w:b/>
          <w:bCs/>
          <w:color w:val="333333"/>
          <w:sz w:val="44"/>
          <w:szCs w:val="44"/>
        </w:rPr>
        <w:t>目</w:t>
      </w:r>
      <w:r>
        <w:rPr>
          <w:rFonts w:ascii="Segoe UI" w:eastAsia="宋体" w:hAnsi="Segoe UI" w:cs="Segoe UI" w:hint="eastAsia"/>
          <w:b/>
          <w:bCs/>
          <w:color w:val="333333"/>
          <w:sz w:val="44"/>
          <w:szCs w:val="44"/>
        </w:rPr>
        <w:t>2020</w:t>
      </w:r>
      <w:r>
        <w:rPr>
          <w:rFonts w:ascii="Segoe UI" w:eastAsia="宋体" w:hAnsi="Segoe UI" w:cs="Segoe UI" w:hint="eastAsia"/>
          <w:b/>
          <w:bCs/>
          <w:color w:val="333333"/>
          <w:sz w:val="44"/>
          <w:szCs w:val="44"/>
        </w:rPr>
        <w:t>年</w:t>
      </w:r>
      <w:r>
        <w:rPr>
          <w:rFonts w:ascii="Segoe UI" w:eastAsia="宋体" w:hAnsi="Segoe UI" w:cs="Segoe UI" w:hint="eastAsia"/>
          <w:b/>
          <w:bCs/>
          <w:color w:val="333333"/>
          <w:sz w:val="44"/>
          <w:szCs w:val="44"/>
        </w:rPr>
        <w:t>11</w:t>
      </w:r>
      <w:r>
        <w:rPr>
          <w:rFonts w:ascii="Segoe UI" w:eastAsia="宋体" w:hAnsi="Segoe UI" w:cs="Segoe UI" w:hint="eastAsia"/>
          <w:b/>
          <w:bCs/>
          <w:color w:val="333333"/>
          <w:sz w:val="44"/>
          <w:szCs w:val="44"/>
        </w:rPr>
        <w:t>月</w:t>
      </w:r>
      <w:r>
        <w:rPr>
          <w:rFonts w:ascii="Segoe UI" w:eastAsia="宋体" w:hAnsi="Segoe UI" w:cs="Segoe UI"/>
          <w:b/>
          <w:bCs/>
          <w:color w:val="333333"/>
          <w:sz w:val="44"/>
          <w:szCs w:val="44"/>
        </w:rPr>
        <w:t>份项目进度公示</w:t>
      </w:r>
    </w:p>
    <w:p w14:paraId="1E3F6004" w14:textId="77777777" w:rsidR="00E47347" w:rsidRDefault="00E47347">
      <w:pPr>
        <w:adjustRightInd/>
        <w:snapToGrid/>
        <w:spacing w:after="300"/>
        <w:ind w:firstLine="480"/>
        <w:rPr>
          <w:rFonts w:ascii="Segoe UI" w:eastAsia="宋体" w:hAnsi="Segoe UI" w:cs="Segoe UI"/>
          <w:color w:val="333333"/>
          <w:sz w:val="24"/>
          <w:szCs w:val="24"/>
        </w:rPr>
      </w:pPr>
    </w:p>
    <w:p w14:paraId="00533074" w14:textId="77777777" w:rsidR="00E47347" w:rsidRDefault="00F67137">
      <w:pPr>
        <w:adjustRightInd/>
        <w:snapToGrid/>
        <w:spacing w:after="300"/>
        <w:ind w:firstLine="480"/>
        <w:rPr>
          <w:rFonts w:ascii="Segoe UI" w:eastAsia="宋体" w:hAnsi="Segoe UI" w:cs="Segoe UI"/>
          <w:color w:val="333333"/>
          <w:sz w:val="32"/>
          <w:szCs w:val="32"/>
        </w:rPr>
      </w:pPr>
      <w:r>
        <w:rPr>
          <w:rFonts w:ascii="Segoe UI" w:eastAsia="宋体" w:hAnsi="Segoe UI" w:cs="Segoe UI"/>
          <w:color w:val="333333"/>
          <w:sz w:val="32"/>
          <w:szCs w:val="32"/>
        </w:rPr>
        <w:t>根据国家电子商务进农村综合示范县项目建设要求，现将</w:t>
      </w:r>
      <w:r>
        <w:rPr>
          <w:rFonts w:ascii="Segoe UI" w:eastAsia="宋体" w:hAnsi="Segoe UI" w:cs="Segoe UI"/>
          <w:color w:val="333333"/>
          <w:sz w:val="32"/>
          <w:szCs w:val="32"/>
        </w:rPr>
        <w:t>202</w:t>
      </w:r>
      <w:r>
        <w:rPr>
          <w:rFonts w:ascii="Segoe UI" w:eastAsia="宋体" w:hAnsi="Segoe UI" w:cs="Segoe UI" w:hint="eastAsia"/>
          <w:color w:val="333333"/>
          <w:sz w:val="32"/>
          <w:szCs w:val="32"/>
        </w:rPr>
        <w:t>0</w:t>
      </w:r>
      <w:r>
        <w:rPr>
          <w:rFonts w:ascii="Segoe UI" w:eastAsia="宋体" w:hAnsi="Segoe UI" w:cs="Segoe UI"/>
          <w:color w:val="333333"/>
          <w:sz w:val="32"/>
          <w:szCs w:val="32"/>
        </w:rPr>
        <w:t>年</w:t>
      </w:r>
      <w:r>
        <w:rPr>
          <w:rFonts w:ascii="Segoe UI" w:eastAsia="宋体" w:hAnsi="Segoe UI" w:cs="Segoe UI" w:hint="eastAsia"/>
          <w:color w:val="333333"/>
          <w:sz w:val="32"/>
          <w:szCs w:val="32"/>
        </w:rPr>
        <w:t>11</w:t>
      </w:r>
      <w:r>
        <w:rPr>
          <w:rFonts w:ascii="Segoe UI" w:eastAsia="宋体" w:hAnsi="Segoe UI" w:cs="Segoe UI"/>
          <w:color w:val="333333"/>
          <w:sz w:val="32"/>
          <w:szCs w:val="32"/>
        </w:rPr>
        <w:t>月份项目进度进行公示。</w:t>
      </w:r>
    </w:p>
    <w:p w14:paraId="1276920F" w14:textId="77777777" w:rsidR="00E47347" w:rsidRDefault="00E47347">
      <w:pPr>
        <w:adjustRightInd/>
        <w:snapToGrid/>
        <w:spacing w:after="300"/>
        <w:ind w:firstLine="480"/>
        <w:rPr>
          <w:rFonts w:ascii="Segoe UI" w:eastAsia="宋体" w:hAnsi="Segoe UI" w:cs="Segoe UI"/>
          <w:color w:val="333333"/>
          <w:sz w:val="32"/>
          <w:szCs w:val="32"/>
        </w:rPr>
      </w:pPr>
    </w:p>
    <w:p w14:paraId="69CDFA9A" w14:textId="77777777" w:rsidR="00E47347" w:rsidRDefault="00E47347">
      <w:pPr>
        <w:adjustRightInd/>
        <w:snapToGrid/>
        <w:spacing w:after="300"/>
        <w:ind w:firstLine="480"/>
        <w:rPr>
          <w:rFonts w:ascii="Segoe UI" w:eastAsia="宋体" w:hAnsi="Segoe UI" w:cs="Segoe UI"/>
          <w:color w:val="333333"/>
          <w:sz w:val="32"/>
          <w:szCs w:val="32"/>
        </w:rPr>
      </w:pPr>
    </w:p>
    <w:p w14:paraId="1E13D426" w14:textId="77777777" w:rsidR="00E47347" w:rsidRDefault="00E47347">
      <w:pPr>
        <w:adjustRightInd/>
        <w:snapToGrid/>
        <w:spacing w:after="300"/>
        <w:ind w:firstLine="480"/>
        <w:rPr>
          <w:rFonts w:ascii="Segoe UI" w:eastAsia="宋体" w:hAnsi="Segoe UI" w:cs="Segoe UI"/>
          <w:color w:val="333333"/>
          <w:sz w:val="32"/>
          <w:szCs w:val="32"/>
        </w:rPr>
      </w:pPr>
    </w:p>
    <w:p w14:paraId="79BE7890" w14:textId="77777777" w:rsidR="00E47347" w:rsidRDefault="00E47347">
      <w:pPr>
        <w:adjustRightInd/>
        <w:snapToGrid/>
        <w:spacing w:after="300"/>
        <w:ind w:firstLine="480"/>
        <w:rPr>
          <w:rFonts w:ascii="Segoe UI" w:eastAsia="宋体" w:hAnsi="Segoe UI" w:cs="Segoe UI"/>
          <w:color w:val="333333"/>
          <w:sz w:val="32"/>
          <w:szCs w:val="32"/>
        </w:rPr>
      </w:pPr>
    </w:p>
    <w:p w14:paraId="1B242673" w14:textId="77777777" w:rsidR="00E47347" w:rsidRDefault="00F67137">
      <w:pPr>
        <w:adjustRightInd/>
        <w:snapToGrid/>
        <w:spacing w:after="300"/>
        <w:ind w:firstLineChars="1850" w:firstLine="5920"/>
        <w:rPr>
          <w:rFonts w:ascii="Segoe UI" w:eastAsia="宋体" w:hAnsi="Segoe UI" w:cs="Segoe UI"/>
          <w:color w:val="333333"/>
          <w:sz w:val="32"/>
          <w:szCs w:val="32"/>
        </w:rPr>
      </w:pPr>
      <w:r>
        <w:rPr>
          <w:rFonts w:ascii="Segoe UI" w:eastAsia="宋体" w:hAnsi="Segoe UI" w:cs="Segoe UI" w:hint="eastAsia"/>
          <w:color w:val="333333"/>
          <w:sz w:val="32"/>
          <w:szCs w:val="32"/>
        </w:rPr>
        <w:t>喀左县国家电子商务进农村</w:t>
      </w:r>
    </w:p>
    <w:p w14:paraId="54E3C040" w14:textId="77777777" w:rsidR="00E47347" w:rsidRDefault="00F67137">
      <w:pPr>
        <w:adjustRightInd/>
        <w:snapToGrid/>
        <w:spacing w:after="300"/>
        <w:ind w:firstLineChars="1850" w:firstLine="5920"/>
        <w:rPr>
          <w:rFonts w:ascii="Segoe UI" w:eastAsia="宋体" w:hAnsi="Segoe UI" w:cs="Segoe UI"/>
          <w:color w:val="333333"/>
          <w:sz w:val="32"/>
          <w:szCs w:val="32"/>
        </w:rPr>
      </w:pPr>
      <w:r>
        <w:rPr>
          <w:rFonts w:ascii="Segoe UI" w:eastAsia="宋体" w:hAnsi="Segoe UI" w:cs="Segoe UI" w:hint="eastAsia"/>
          <w:color w:val="333333"/>
          <w:sz w:val="32"/>
          <w:szCs w:val="32"/>
        </w:rPr>
        <w:t>综合示范项目领导小组办公室</w:t>
      </w:r>
    </w:p>
    <w:p w14:paraId="4053331D" w14:textId="2DFB8A3F" w:rsidR="00E47347" w:rsidRDefault="00F67137">
      <w:pPr>
        <w:adjustRightInd/>
        <w:snapToGrid/>
        <w:spacing w:after="300"/>
        <w:ind w:firstLineChars="2150" w:firstLine="6880"/>
        <w:rPr>
          <w:rFonts w:ascii="Segoe UI" w:eastAsia="宋体" w:hAnsi="Segoe UI" w:cs="Segoe UI"/>
          <w:color w:val="333333"/>
          <w:sz w:val="32"/>
          <w:szCs w:val="32"/>
        </w:rPr>
      </w:pPr>
      <w:r>
        <w:rPr>
          <w:rFonts w:ascii="Segoe UI" w:eastAsia="宋体" w:hAnsi="Segoe UI" w:cs="Segoe UI" w:hint="eastAsia"/>
          <w:color w:val="333333"/>
          <w:sz w:val="32"/>
          <w:szCs w:val="32"/>
        </w:rPr>
        <w:t>2020</w:t>
      </w:r>
      <w:r>
        <w:rPr>
          <w:rFonts w:ascii="Segoe UI" w:eastAsia="宋体" w:hAnsi="Segoe UI" w:cs="Segoe UI" w:hint="eastAsia"/>
          <w:color w:val="333333"/>
          <w:sz w:val="32"/>
          <w:szCs w:val="32"/>
        </w:rPr>
        <w:t>年</w:t>
      </w:r>
      <w:r>
        <w:rPr>
          <w:rFonts w:ascii="Segoe UI" w:eastAsia="宋体" w:hAnsi="Segoe UI" w:cs="Segoe UI" w:hint="eastAsia"/>
          <w:color w:val="333333"/>
          <w:sz w:val="32"/>
          <w:szCs w:val="32"/>
        </w:rPr>
        <w:t>11</w:t>
      </w:r>
      <w:r>
        <w:rPr>
          <w:rFonts w:ascii="Segoe UI" w:eastAsia="宋体" w:hAnsi="Segoe UI" w:cs="Segoe UI" w:hint="eastAsia"/>
          <w:color w:val="333333"/>
          <w:sz w:val="32"/>
          <w:szCs w:val="32"/>
        </w:rPr>
        <w:t>月</w:t>
      </w:r>
      <w:r>
        <w:rPr>
          <w:rFonts w:ascii="Segoe UI" w:eastAsia="宋体" w:hAnsi="Segoe UI" w:cs="Segoe UI" w:hint="eastAsia"/>
          <w:color w:val="333333"/>
          <w:sz w:val="32"/>
          <w:szCs w:val="32"/>
        </w:rPr>
        <w:t>3</w:t>
      </w:r>
      <w:r w:rsidR="0056046C">
        <w:rPr>
          <w:rFonts w:ascii="Segoe UI" w:eastAsia="宋体" w:hAnsi="Segoe UI" w:cs="Segoe UI"/>
          <w:color w:val="333333"/>
          <w:sz w:val="32"/>
          <w:szCs w:val="32"/>
        </w:rPr>
        <w:t>0</w:t>
      </w:r>
      <w:r>
        <w:rPr>
          <w:rFonts w:ascii="Segoe UI" w:eastAsia="宋体" w:hAnsi="Segoe UI" w:cs="Segoe UI" w:hint="eastAsia"/>
          <w:color w:val="333333"/>
          <w:sz w:val="32"/>
          <w:szCs w:val="32"/>
        </w:rPr>
        <w:t>日</w:t>
      </w:r>
    </w:p>
    <w:p w14:paraId="52DCAD89" w14:textId="77777777" w:rsidR="00E47347" w:rsidRDefault="00E47347">
      <w:pPr>
        <w:adjustRightInd/>
        <w:snapToGrid/>
        <w:spacing w:after="300"/>
        <w:ind w:firstLineChars="2150" w:firstLine="6880"/>
        <w:rPr>
          <w:rFonts w:ascii="Segoe UI" w:eastAsia="宋体" w:hAnsi="Segoe UI" w:cs="Segoe UI"/>
          <w:color w:val="333333"/>
          <w:sz w:val="32"/>
          <w:szCs w:val="32"/>
        </w:rPr>
      </w:pPr>
    </w:p>
    <w:p w14:paraId="76FA3DFA" w14:textId="77777777" w:rsidR="00E47347" w:rsidRDefault="00E47347">
      <w:pPr>
        <w:adjustRightInd/>
        <w:snapToGrid/>
        <w:spacing w:after="300"/>
        <w:ind w:firstLineChars="2150" w:firstLine="6880"/>
        <w:rPr>
          <w:rFonts w:ascii="Segoe UI" w:eastAsia="宋体" w:hAnsi="Segoe UI" w:cs="Segoe UI"/>
          <w:color w:val="333333"/>
          <w:sz w:val="32"/>
          <w:szCs w:val="32"/>
        </w:rPr>
      </w:pPr>
    </w:p>
    <w:p w14:paraId="79289E85" w14:textId="77777777" w:rsidR="00E47347" w:rsidRDefault="00E47347">
      <w:pPr>
        <w:adjustRightInd/>
        <w:snapToGrid/>
        <w:spacing w:after="0"/>
        <w:rPr>
          <w:rFonts w:ascii="Segoe UI" w:eastAsia="宋体" w:hAnsi="Segoe UI" w:cs="Segoe UI"/>
          <w:b/>
          <w:bCs/>
          <w:color w:val="333333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7"/>
        <w:gridCol w:w="423"/>
        <w:gridCol w:w="423"/>
        <w:gridCol w:w="829"/>
        <w:gridCol w:w="876"/>
        <w:gridCol w:w="792"/>
        <w:gridCol w:w="707"/>
        <w:gridCol w:w="3814"/>
        <w:gridCol w:w="3672"/>
        <w:gridCol w:w="1372"/>
        <w:gridCol w:w="643"/>
      </w:tblGrid>
      <w:tr w:rsidR="00E47347" w14:paraId="59DB39B7" w14:textId="77777777">
        <w:tc>
          <w:tcPr>
            <w:tcW w:w="14174" w:type="dxa"/>
            <w:gridSpan w:val="11"/>
          </w:tcPr>
          <w:p w14:paraId="26565A84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24"/>
                <w:szCs w:val="15"/>
              </w:rPr>
              <w:t>喀左县国家电子商务进农村综合示范项目建设进度表（</w:t>
            </w:r>
            <w:r>
              <w:rPr>
                <w:rFonts w:ascii="黑体" w:eastAsia="黑体" w:hAnsi="黑体" w:hint="eastAsia"/>
                <w:sz w:val="24"/>
                <w:szCs w:val="15"/>
              </w:rPr>
              <w:t>2020</w:t>
            </w:r>
            <w:r>
              <w:rPr>
                <w:rFonts w:ascii="黑体" w:eastAsia="黑体" w:hAnsi="黑体" w:hint="eastAsia"/>
                <w:sz w:val="24"/>
                <w:szCs w:val="15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15"/>
              </w:rPr>
              <w:t>11</w:t>
            </w:r>
            <w:r>
              <w:rPr>
                <w:rFonts w:ascii="黑体" w:eastAsia="黑体" w:hAnsi="黑体" w:hint="eastAsia"/>
                <w:sz w:val="24"/>
                <w:szCs w:val="15"/>
              </w:rPr>
              <w:t>月）</w:t>
            </w:r>
          </w:p>
        </w:tc>
      </w:tr>
      <w:tr w:rsidR="00E47347" w14:paraId="6F4C90CB" w14:textId="77777777">
        <w:tc>
          <w:tcPr>
            <w:tcW w:w="396" w:type="dxa"/>
          </w:tcPr>
          <w:p w14:paraId="4A42116C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8"/>
                <w:szCs w:val="15"/>
              </w:rPr>
            </w:pPr>
            <w:r>
              <w:rPr>
                <w:rFonts w:ascii="黑体" w:eastAsia="黑体" w:hAnsi="黑体" w:hint="eastAsia"/>
                <w:sz w:val="18"/>
                <w:szCs w:val="15"/>
              </w:rPr>
              <w:t>项目名称</w:t>
            </w:r>
          </w:p>
        </w:tc>
        <w:tc>
          <w:tcPr>
            <w:tcW w:w="424" w:type="dxa"/>
          </w:tcPr>
          <w:p w14:paraId="63A3444F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8"/>
                <w:szCs w:val="15"/>
              </w:rPr>
            </w:pPr>
            <w:r>
              <w:rPr>
                <w:rFonts w:ascii="黑体" w:eastAsia="黑体" w:hAnsi="黑体" w:hint="eastAsia"/>
                <w:sz w:val="18"/>
                <w:szCs w:val="15"/>
              </w:rPr>
              <w:t>承办单位</w:t>
            </w:r>
          </w:p>
        </w:tc>
        <w:tc>
          <w:tcPr>
            <w:tcW w:w="424" w:type="dxa"/>
          </w:tcPr>
          <w:p w14:paraId="09807002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8"/>
                <w:szCs w:val="15"/>
              </w:rPr>
            </w:pPr>
            <w:r>
              <w:rPr>
                <w:rFonts w:ascii="黑体" w:eastAsia="黑体" w:hAnsi="黑体" w:hint="eastAsia"/>
                <w:sz w:val="18"/>
                <w:szCs w:val="15"/>
              </w:rPr>
              <w:t>序号</w:t>
            </w:r>
          </w:p>
        </w:tc>
        <w:tc>
          <w:tcPr>
            <w:tcW w:w="841" w:type="dxa"/>
          </w:tcPr>
          <w:p w14:paraId="1F55A005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8"/>
                <w:szCs w:val="15"/>
              </w:rPr>
            </w:pPr>
            <w:r>
              <w:rPr>
                <w:rFonts w:ascii="黑体" w:eastAsia="黑体" w:hAnsi="黑体" w:hint="eastAsia"/>
                <w:sz w:val="18"/>
                <w:szCs w:val="15"/>
              </w:rPr>
              <w:t>体系</w:t>
            </w:r>
          </w:p>
        </w:tc>
        <w:tc>
          <w:tcPr>
            <w:tcW w:w="884" w:type="dxa"/>
          </w:tcPr>
          <w:p w14:paraId="32E8A87F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8"/>
                <w:szCs w:val="15"/>
              </w:rPr>
            </w:pPr>
            <w:r>
              <w:rPr>
                <w:rFonts w:ascii="黑体" w:eastAsia="黑体" w:hAnsi="黑体" w:hint="eastAsia"/>
                <w:sz w:val="18"/>
                <w:szCs w:val="15"/>
              </w:rPr>
              <w:t>建设时间</w:t>
            </w:r>
          </w:p>
        </w:tc>
        <w:tc>
          <w:tcPr>
            <w:tcW w:w="802" w:type="dxa"/>
          </w:tcPr>
          <w:p w14:paraId="2294F152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8"/>
                <w:szCs w:val="15"/>
              </w:rPr>
            </w:pPr>
            <w:r>
              <w:rPr>
                <w:rFonts w:ascii="黑体" w:eastAsia="黑体" w:hAnsi="黑体" w:hint="eastAsia"/>
                <w:sz w:val="18"/>
                <w:szCs w:val="15"/>
              </w:rPr>
              <w:t>投资金额</w:t>
            </w:r>
          </w:p>
        </w:tc>
        <w:tc>
          <w:tcPr>
            <w:tcW w:w="708" w:type="dxa"/>
          </w:tcPr>
          <w:p w14:paraId="46FAA0D1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8"/>
                <w:szCs w:val="15"/>
              </w:rPr>
            </w:pPr>
            <w:r>
              <w:rPr>
                <w:rFonts w:ascii="黑体" w:eastAsia="黑体" w:hAnsi="黑体" w:hint="eastAsia"/>
                <w:sz w:val="18"/>
                <w:szCs w:val="15"/>
              </w:rPr>
              <w:t>项目</w:t>
            </w:r>
          </w:p>
        </w:tc>
        <w:tc>
          <w:tcPr>
            <w:tcW w:w="3896" w:type="dxa"/>
          </w:tcPr>
          <w:p w14:paraId="17F85D73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8"/>
                <w:szCs w:val="15"/>
              </w:rPr>
            </w:pPr>
            <w:r>
              <w:rPr>
                <w:rFonts w:ascii="黑体" w:eastAsia="黑体" w:hAnsi="黑体" w:hint="eastAsia"/>
                <w:sz w:val="18"/>
                <w:szCs w:val="15"/>
              </w:rPr>
              <w:t>合同建设内容</w:t>
            </w:r>
          </w:p>
        </w:tc>
        <w:tc>
          <w:tcPr>
            <w:tcW w:w="3754" w:type="dxa"/>
          </w:tcPr>
          <w:p w14:paraId="2E25D15B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8"/>
                <w:szCs w:val="15"/>
              </w:rPr>
            </w:pPr>
            <w:r>
              <w:rPr>
                <w:rFonts w:ascii="黑体" w:eastAsia="黑体" w:hAnsi="黑体" w:hint="eastAsia"/>
                <w:sz w:val="18"/>
                <w:szCs w:val="15"/>
              </w:rPr>
              <w:t>建设情况</w:t>
            </w:r>
          </w:p>
        </w:tc>
        <w:tc>
          <w:tcPr>
            <w:tcW w:w="1395" w:type="dxa"/>
          </w:tcPr>
          <w:p w14:paraId="7BDD5BF5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8"/>
                <w:szCs w:val="15"/>
              </w:rPr>
            </w:pPr>
            <w:r>
              <w:rPr>
                <w:rFonts w:ascii="黑体" w:eastAsia="黑体" w:hAnsi="黑体" w:hint="eastAsia"/>
                <w:sz w:val="18"/>
                <w:szCs w:val="15"/>
              </w:rPr>
              <w:t>项目进度</w:t>
            </w:r>
          </w:p>
        </w:tc>
        <w:tc>
          <w:tcPr>
            <w:tcW w:w="650" w:type="dxa"/>
          </w:tcPr>
          <w:p w14:paraId="761DC647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8"/>
                <w:szCs w:val="15"/>
              </w:rPr>
            </w:pPr>
            <w:r>
              <w:rPr>
                <w:rFonts w:ascii="黑体" w:eastAsia="黑体" w:hAnsi="黑体" w:hint="eastAsia"/>
                <w:sz w:val="18"/>
                <w:szCs w:val="15"/>
              </w:rPr>
              <w:t>完成时限</w:t>
            </w:r>
          </w:p>
        </w:tc>
      </w:tr>
      <w:tr w:rsidR="00E47347" w14:paraId="50FAA2F6" w14:textId="77777777">
        <w:trPr>
          <w:trHeight w:val="975"/>
        </w:trPr>
        <w:tc>
          <w:tcPr>
            <w:tcW w:w="396" w:type="dxa"/>
            <w:vMerge w:val="restart"/>
          </w:tcPr>
          <w:p w14:paraId="675BB773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喀左县国家电子商务进农村综合示范项目</w:t>
            </w:r>
          </w:p>
        </w:tc>
        <w:tc>
          <w:tcPr>
            <w:tcW w:w="424" w:type="dxa"/>
            <w:vMerge w:val="restart"/>
          </w:tcPr>
          <w:p w14:paraId="4499B2C9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喀左美乡美村电子商务有限公司</w:t>
            </w:r>
          </w:p>
        </w:tc>
        <w:tc>
          <w:tcPr>
            <w:tcW w:w="424" w:type="dxa"/>
            <w:vMerge w:val="restart"/>
          </w:tcPr>
          <w:p w14:paraId="576C9419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</w:t>
            </w:r>
          </w:p>
        </w:tc>
        <w:tc>
          <w:tcPr>
            <w:tcW w:w="841" w:type="dxa"/>
            <w:vMerge w:val="restart"/>
          </w:tcPr>
          <w:p w14:paraId="7B7A5D11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农村电商人才培训体系</w:t>
            </w:r>
          </w:p>
        </w:tc>
        <w:tc>
          <w:tcPr>
            <w:tcW w:w="884" w:type="dxa"/>
            <w:vMerge w:val="restart"/>
          </w:tcPr>
          <w:p w14:paraId="20515B26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2019-2022</w:t>
            </w:r>
          </w:p>
        </w:tc>
        <w:tc>
          <w:tcPr>
            <w:tcW w:w="802" w:type="dxa"/>
            <w:vMerge w:val="restart"/>
          </w:tcPr>
          <w:p w14:paraId="6C2291F3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225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万元</w:t>
            </w:r>
          </w:p>
        </w:tc>
        <w:tc>
          <w:tcPr>
            <w:tcW w:w="708" w:type="dxa"/>
            <w:vMerge w:val="restart"/>
          </w:tcPr>
          <w:p w14:paraId="05460C9E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建设农村电子商务人才培训体系</w:t>
            </w:r>
          </w:p>
        </w:tc>
        <w:tc>
          <w:tcPr>
            <w:tcW w:w="3896" w:type="dxa"/>
            <w:vMerge w:val="restart"/>
          </w:tcPr>
          <w:p w14:paraId="6B5ECE41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制定科学合理的培训规划和方案，对党政机关工作人员开展电子商务政策、理论、规划、管理和分析等培训对有意学习电子商务的农村群众、返乡青年、退伍军人、待就业大学生开展电子商务技能培训；对有创业意愿的人员开展电商创业、实操培训；对农村服务站点工作人员等开展服务培训。对农村群众开展电商普及培训和宣传。重点强化培训机制，增强培训的针对性，提升美工、产品设计、宣传、营销等实操技能。建立农村电商培训转化机制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，加强电商培训与就业用工的对接，加强创业孵化。开展电子商务进农村综合示范项目要求的具体培训工作。建立多层次培训体系。实施线上培训，打造线上线下培训的模式。针对政府、企业、农民、等提供基础普及性的公开、免费培训。针对农村青年等有电商创业需求的人群，提供市场化或者公益性的增值培训。培训达到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6130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人次以上。</w:t>
            </w:r>
          </w:p>
        </w:tc>
        <w:tc>
          <w:tcPr>
            <w:tcW w:w="3754" w:type="dxa"/>
            <w:vAlign w:val="center"/>
          </w:tcPr>
          <w:p w14:paraId="2F1B910B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合同期限内完成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6130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人次培训。</w:t>
            </w:r>
          </w:p>
        </w:tc>
        <w:tc>
          <w:tcPr>
            <w:tcW w:w="1395" w:type="dxa"/>
          </w:tcPr>
          <w:p w14:paraId="4F982F88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截止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11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月末，共计培训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1260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人次。</w:t>
            </w:r>
          </w:p>
        </w:tc>
        <w:tc>
          <w:tcPr>
            <w:tcW w:w="650" w:type="dxa"/>
            <w:vMerge w:val="restart"/>
          </w:tcPr>
          <w:p w14:paraId="1C645AC3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</w:t>
            </w:r>
          </w:p>
        </w:tc>
      </w:tr>
      <w:tr w:rsidR="00E47347" w14:paraId="72729FF1" w14:textId="77777777">
        <w:trPr>
          <w:trHeight w:val="960"/>
        </w:trPr>
        <w:tc>
          <w:tcPr>
            <w:tcW w:w="396" w:type="dxa"/>
            <w:vMerge/>
          </w:tcPr>
          <w:p w14:paraId="3A4A9315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59F94CB1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4C0007C1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38364EB5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16763632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5009D7B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14:paraId="24A60A49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10E554D6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 w14:paraId="48F43FB4" w14:textId="77777777" w:rsidR="00E47347" w:rsidRDefault="00F67137">
            <w:pPr>
              <w:spacing w:after="0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针对涉农企业、农村青年、下岗工人、返乡创业青年、返乡大学生、退伍军人、农村妇女、待业大学生、电商兴趣爱好者、建档立卡贫困户、农村专业合作社等人员开展电商创业培训</w:t>
            </w:r>
          </w:p>
        </w:tc>
        <w:tc>
          <w:tcPr>
            <w:tcW w:w="1395" w:type="dxa"/>
          </w:tcPr>
          <w:p w14:paraId="5D3CAB70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/>
          </w:tcPr>
          <w:p w14:paraId="7B89D9B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04D2C144" w14:textId="77777777">
        <w:trPr>
          <w:trHeight w:val="855"/>
        </w:trPr>
        <w:tc>
          <w:tcPr>
            <w:tcW w:w="396" w:type="dxa"/>
            <w:vMerge/>
          </w:tcPr>
          <w:p w14:paraId="326EC5A1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5EA08CA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5041A4DC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015E67D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1DC337E5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6543FEE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14:paraId="7C976196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5687A257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 w14:paraId="2C6BBE58" w14:textId="77777777" w:rsidR="00E47347" w:rsidRDefault="00F67137">
            <w:pPr>
              <w:spacing w:after="0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建立培训后服务机制，对有电商创业需求的青年提供增值培训；对已培训人员跟踪服务，提供辅导、孵化等定向服务，定期统计从业及创业人员情况。</w:t>
            </w:r>
          </w:p>
        </w:tc>
        <w:tc>
          <w:tcPr>
            <w:tcW w:w="1395" w:type="dxa"/>
          </w:tcPr>
          <w:p w14:paraId="3C720E89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/>
          </w:tcPr>
          <w:p w14:paraId="7EA46C11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3BE34CDB" w14:textId="77777777">
        <w:trPr>
          <w:trHeight w:val="855"/>
        </w:trPr>
        <w:tc>
          <w:tcPr>
            <w:tcW w:w="396" w:type="dxa"/>
            <w:vMerge/>
          </w:tcPr>
          <w:p w14:paraId="244CEF3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3681326C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15782A3C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3DF900D6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14A1DEB2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20E91B0C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14:paraId="29BF60A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2DEC5AA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 w14:paraId="5F5DE2E0" w14:textId="77777777" w:rsidR="00E47347" w:rsidRDefault="00F67137">
            <w:pPr>
              <w:spacing w:after="0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进行宣传推广</w:t>
            </w:r>
          </w:p>
        </w:tc>
        <w:tc>
          <w:tcPr>
            <w:tcW w:w="1395" w:type="dxa"/>
          </w:tcPr>
          <w:p w14:paraId="2FD5860A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/>
          </w:tcPr>
          <w:p w14:paraId="2D83FF3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5377E94B" w14:textId="77777777">
        <w:trPr>
          <w:trHeight w:val="593"/>
        </w:trPr>
        <w:tc>
          <w:tcPr>
            <w:tcW w:w="396" w:type="dxa"/>
            <w:vMerge/>
          </w:tcPr>
          <w:p w14:paraId="1A083FE8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498872A9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 w14:paraId="12A38CE6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</w:t>
            </w:r>
          </w:p>
        </w:tc>
        <w:tc>
          <w:tcPr>
            <w:tcW w:w="841" w:type="dxa"/>
            <w:vMerge w:val="restart"/>
          </w:tcPr>
          <w:p w14:paraId="2760FC51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农村物流仓储配送体系</w:t>
            </w:r>
          </w:p>
        </w:tc>
        <w:tc>
          <w:tcPr>
            <w:tcW w:w="884" w:type="dxa"/>
            <w:vMerge w:val="restart"/>
          </w:tcPr>
          <w:p w14:paraId="4EBC8212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2019-2022</w:t>
            </w:r>
          </w:p>
        </w:tc>
        <w:tc>
          <w:tcPr>
            <w:tcW w:w="802" w:type="dxa"/>
            <w:vMerge w:val="restart"/>
          </w:tcPr>
          <w:p w14:paraId="30D6D3CB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375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万元</w:t>
            </w:r>
          </w:p>
        </w:tc>
        <w:tc>
          <w:tcPr>
            <w:tcW w:w="708" w:type="dxa"/>
            <w:vMerge w:val="restart"/>
          </w:tcPr>
          <w:p w14:paraId="3C87D1C3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建设县、乡（镇）仓储物流配送体系</w:t>
            </w:r>
          </w:p>
        </w:tc>
        <w:tc>
          <w:tcPr>
            <w:tcW w:w="3896" w:type="dxa"/>
            <w:vMerge w:val="restart"/>
          </w:tcPr>
          <w:p w14:paraId="4186F677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在县城建设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个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3000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平方米以上的县级物流仓储中心，配备专业的物流快递分拨设备设施；整合县域内邮政、“四通一达”等快递物流资源入园，实现统配统送。推广</w:t>
            </w:r>
            <w:r>
              <w:rPr>
                <w:rFonts w:ascii="黑体" w:eastAsia="黑体" w:hAnsi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“快递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+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电商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+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农特产品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+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农户”的融合发展模式；依托配送路线覆盖各乡镇、村级电商服务站点，实现县域到乡镇每天配送一次，乡镇到村至少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2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天配送一次。</w:t>
            </w:r>
          </w:p>
          <w:p w14:paraId="71A9F7C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2093E1F1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644FA135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5DE8531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34C91F61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22C5ADA6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</w:tcPr>
          <w:p w14:paraId="14A371E1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lastRenderedPageBreak/>
              <w:t>已确立邮政牵头，整合至少两家快递，正在进行具体协议研讨</w:t>
            </w:r>
          </w:p>
        </w:tc>
        <w:tc>
          <w:tcPr>
            <w:tcW w:w="1395" w:type="dxa"/>
          </w:tcPr>
          <w:p w14:paraId="5D547D88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持续运营</w:t>
            </w:r>
          </w:p>
        </w:tc>
        <w:tc>
          <w:tcPr>
            <w:tcW w:w="650" w:type="dxa"/>
            <w:vMerge w:val="restart"/>
          </w:tcPr>
          <w:p w14:paraId="0D60BE79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</w:t>
            </w:r>
          </w:p>
        </w:tc>
      </w:tr>
      <w:tr w:rsidR="00E47347" w14:paraId="57AA01FC" w14:textId="77777777">
        <w:trPr>
          <w:trHeight w:val="840"/>
        </w:trPr>
        <w:tc>
          <w:tcPr>
            <w:tcW w:w="396" w:type="dxa"/>
            <w:vMerge/>
          </w:tcPr>
          <w:p w14:paraId="3A3DCB12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6FA44FCC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0D963249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5613C0A8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4ED2D854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09C1EC8E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14:paraId="6F9CB57C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69EB553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</w:tcPr>
          <w:p w14:paraId="043068D0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结合电商服务站点初选物流配送点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162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个。已建设物流站点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139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个，并已整合快递代收代发业务，提供电商综合性服务，收购并代销农特产品与贫困户产品。结合物流点选建情况制定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条物流配送线路，目前已初步开通运营。</w:t>
            </w:r>
          </w:p>
        </w:tc>
        <w:tc>
          <w:tcPr>
            <w:tcW w:w="1395" w:type="dxa"/>
          </w:tcPr>
          <w:p w14:paraId="50319A86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85%</w:t>
            </w:r>
          </w:p>
        </w:tc>
        <w:tc>
          <w:tcPr>
            <w:tcW w:w="650" w:type="dxa"/>
            <w:vMerge/>
          </w:tcPr>
          <w:p w14:paraId="1A01F1E8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24937973" w14:textId="77777777">
        <w:trPr>
          <w:trHeight w:val="1556"/>
        </w:trPr>
        <w:tc>
          <w:tcPr>
            <w:tcW w:w="396" w:type="dxa"/>
            <w:vMerge/>
          </w:tcPr>
          <w:p w14:paraId="301AFCEF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1666353E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6A154BE2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4E0D1E6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68552911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2615597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14:paraId="1C16712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24003BE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</w:tcPr>
          <w:p w14:paraId="380749D0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完成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139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个物流站点的建设，达建设目标的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85%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；其中包含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22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个镇级点，达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22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个乡镇覆盖率的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85%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；统一配置包含“乡镇物流配送点”标识的门头、物流制度牌等，统一配备货架、快递收发台账及标识牌。</w:t>
            </w:r>
          </w:p>
        </w:tc>
        <w:tc>
          <w:tcPr>
            <w:tcW w:w="1395" w:type="dxa"/>
          </w:tcPr>
          <w:p w14:paraId="0AA7872F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85%</w:t>
            </w:r>
          </w:p>
        </w:tc>
        <w:tc>
          <w:tcPr>
            <w:tcW w:w="650" w:type="dxa"/>
            <w:vMerge/>
          </w:tcPr>
          <w:p w14:paraId="57F9C8A6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758CD9F2" w14:textId="77777777">
        <w:trPr>
          <w:trHeight w:val="2124"/>
        </w:trPr>
        <w:tc>
          <w:tcPr>
            <w:tcW w:w="396" w:type="dxa"/>
            <w:vMerge/>
          </w:tcPr>
          <w:p w14:paraId="48A6EEE5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472790EC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 w14:paraId="53EF7D62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</w:t>
            </w:r>
          </w:p>
        </w:tc>
        <w:tc>
          <w:tcPr>
            <w:tcW w:w="841" w:type="dxa"/>
            <w:vMerge w:val="restart"/>
          </w:tcPr>
          <w:p w14:paraId="25A9F5AA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农村电商服务站体系</w:t>
            </w:r>
          </w:p>
        </w:tc>
        <w:tc>
          <w:tcPr>
            <w:tcW w:w="884" w:type="dxa"/>
            <w:vMerge w:val="restart"/>
          </w:tcPr>
          <w:p w14:paraId="0442452A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2019-2022</w:t>
            </w:r>
          </w:p>
        </w:tc>
        <w:tc>
          <w:tcPr>
            <w:tcW w:w="802" w:type="dxa"/>
            <w:vMerge w:val="restart"/>
          </w:tcPr>
          <w:p w14:paraId="7D641DE4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150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万元</w:t>
            </w:r>
          </w:p>
        </w:tc>
        <w:tc>
          <w:tcPr>
            <w:tcW w:w="708" w:type="dxa"/>
            <w:vMerge w:val="restart"/>
          </w:tcPr>
          <w:p w14:paraId="04DBB888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建设电子商务服务站点体系</w:t>
            </w:r>
          </w:p>
        </w:tc>
        <w:tc>
          <w:tcPr>
            <w:tcW w:w="3896" w:type="dxa"/>
            <w:vMerge w:val="restart"/>
          </w:tcPr>
          <w:p w14:paraId="7C42E0E4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在全县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22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个乡镇街区升级改造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22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个统一风格的乡镇级电子商务服务站点，改造升级农村村级电商服务站点，实现村级电商服务站点覆盖率不低于行政村总数的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85%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，其中贫困村服务站点覆盖率不低于贫困村总数的</w:t>
            </w:r>
            <w:r>
              <w:rPr>
                <w:rFonts w:ascii="黑体" w:eastAsia="黑体" w:hAnsi="黑体" w:hint="eastAsia"/>
                <w:sz w:val="15"/>
                <w:szCs w:val="15"/>
              </w:rPr>
              <w:t xml:space="preserve"> 100%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。各站点以普及、推广电子商务应用为核心，配备站点运营所必须的货架、电脑、电视、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POS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机、扫码枪、牌匾等设备；电子商务服务站统一标识、统一规划设计、统一硬件配置、统一技术培训、统一服务管理、统一物流配送的“六统一”模式，在显著位置悬挂“国家级电子商务进农村综合示范项目”和“喀左县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XX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村电子商务综合服务中心”标识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牌。</w:t>
            </w:r>
          </w:p>
        </w:tc>
        <w:tc>
          <w:tcPr>
            <w:tcW w:w="3754" w:type="dxa"/>
          </w:tcPr>
          <w:p w14:paraId="2CBA8078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结合农村淘宝、邮乐购、新益农原有站点，通过实地摸底调查，以筛选存活站点升级改造为主，新增优选站点为辅，目前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完成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22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个乡镇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162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个村站点选址工作（包含全部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86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个贫困村）。</w:t>
            </w:r>
          </w:p>
        </w:tc>
        <w:tc>
          <w:tcPr>
            <w:tcW w:w="1395" w:type="dxa"/>
          </w:tcPr>
          <w:p w14:paraId="09DF35F7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已完成前期调研</w:t>
            </w:r>
          </w:p>
        </w:tc>
        <w:tc>
          <w:tcPr>
            <w:tcW w:w="650" w:type="dxa"/>
            <w:vMerge w:val="restart"/>
          </w:tcPr>
          <w:p w14:paraId="53260B50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</w:t>
            </w:r>
          </w:p>
        </w:tc>
      </w:tr>
      <w:tr w:rsidR="00E47347" w14:paraId="1AE50620" w14:textId="77777777">
        <w:trPr>
          <w:trHeight w:val="2625"/>
        </w:trPr>
        <w:tc>
          <w:tcPr>
            <w:tcW w:w="396" w:type="dxa"/>
            <w:vMerge/>
          </w:tcPr>
          <w:p w14:paraId="3792099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78876056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7C87CC0F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00AC4F5E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6D6D7C9F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1C52D7C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14:paraId="312D920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3C4856CF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</w:tcPr>
          <w:p w14:paraId="3E37207C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1395" w:type="dxa"/>
          </w:tcPr>
          <w:p w14:paraId="63E6145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650" w:type="dxa"/>
            <w:vMerge/>
          </w:tcPr>
          <w:p w14:paraId="0CA7C2B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7BFCA017" w14:textId="77777777">
        <w:trPr>
          <w:trHeight w:val="3026"/>
        </w:trPr>
        <w:tc>
          <w:tcPr>
            <w:tcW w:w="396" w:type="dxa"/>
            <w:vMerge/>
          </w:tcPr>
          <w:p w14:paraId="5F28BCD6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38E134F6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32B98554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123CB7B1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3E5FC26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7AB2306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14:paraId="20F8B039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7F8D4076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</w:tcPr>
          <w:p w14:paraId="68EEF330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31F47040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1395" w:type="dxa"/>
          </w:tcPr>
          <w:p w14:paraId="09830BB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650" w:type="dxa"/>
            <w:vMerge/>
          </w:tcPr>
          <w:p w14:paraId="036605E4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4484EE03" w14:textId="77777777">
        <w:trPr>
          <w:trHeight w:val="438"/>
        </w:trPr>
        <w:tc>
          <w:tcPr>
            <w:tcW w:w="396" w:type="dxa"/>
            <w:vMerge/>
          </w:tcPr>
          <w:p w14:paraId="25968F4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1C02CF64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 w14:paraId="32DADED5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4</w:t>
            </w:r>
          </w:p>
        </w:tc>
        <w:tc>
          <w:tcPr>
            <w:tcW w:w="841" w:type="dxa"/>
            <w:vMerge w:val="restart"/>
          </w:tcPr>
          <w:p w14:paraId="11A3715D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农产品上行品牌营销与供应链综合服务体系</w:t>
            </w:r>
          </w:p>
        </w:tc>
        <w:tc>
          <w:tcPr>
            <w:tcW w:w="884" w:type="dxa"/>
            <w:vMerge w:val="restart"/>
          </w:tcPr>
          <w:p w14:paraId="4640CA69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2019-2022</w:t>
            </w:r>
          </w:p>
        </w:tc>
        <w:tc>
          <w:tcPr>
            <w:tcW w:w="802" w:type="dxa"/>
            <w:vMerge w:val="restart"/>
          </w:tcPr>
          <w:p w14:paraId="3EA1FEE1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300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万元</w:t>
            </w:r>
          </w:p>
        </w:tc>
        <w:tc>
          <w:tcPr>
            <w:tcW w:w="708" w:type="dxa"/>
            <w:vMerge w:val="restart"/>
            <w:vAlign w:val="center"/>
          </w:tcPr>
          <w:p w14:paraId="67BBC452" w14:textId="77777777" w:rsidR="00E47347" w:rsidRDefault="00F67137">
            <w:pPr>
              <w:spacing w:after="0"/>
              <w:jc w:val="center"/>
              <w:rPr>
                <w:rFonts w:ascii="黑体" w:eastAsia="黑体" w:hAnsi="黑体" w:cs="Times New Roman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网销农产品标准化、生产认证体系建设。</w:t>
            </w:r>
          </w:p>
        </w:tc>
        <w:tc>
          <w:tcPr>
            <w:tcW w:w="3896" w:type="dxa"/>
            <w:vMerge w:val="restart"/>
          </w:tcPr>
          <w:p w14:paraId="29675BAD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建设喀左县网销农产品标准化体系，规范农产品规模种植、分类定级、包装设计，实现网上销售农产品质量等级化、标准化、包装规格化；支持电商企业制定适应农产品电子商务的行业标准，参与农产品标准化生产示范基地建设，实现生产设施、过程和产品标准化；创建企业诚信评价体系；制定喀左县网络流通农产品质量标准；建立产品认证和防伪标识系统；对喀左“三品一标”等特色农产品整个供应链进行规范化管理；依托农业产业基地，农村专业合作社建设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2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—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3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个电子商务农产品模范种植基地，起到对全市农产品标准化、规模化种植的示范带动作用。支持我市企业、专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业合作社开展无公害、绿色、有机和农产品地理标识等“三品一标”品牌认证，争创国家地理标志保护产品、国家省市名牌</w:t>
            </w:r>
          </w:p>
        </w:tc>
        <w:tc>
          <w:tcPr>
            <w:tcW w:w="3754" w:type="dxa"/>
            <w:vAlign w:val="center"/>
          </w:tcPr>
          <w:p w14:paraId="7D34C62C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制作网销农产品标准化白皮书。</w:t>
            </w:r>
          </w:p>
        </w:tc>
        <w:tc>
          <w:tcPr>
            <w:tcW w:w="1395" w:type="dxa"/>
            <w:vAlign w:val="center"/>
          </w:tcPr>
          <w:p w14:paraId="6CA38D61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restart"/>
          </w:tcPr>
          <w:p w14:paraId="5973A4C5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</w:t>
            </w:r>
          </w:p>
        </w:tc>
      </w:tr>
      <w:tr w:rsidR="00E47347" w14:paraId="16837863" w14:textId="77777777">
        <w:trPr>
          <w:trHeight w:val="557"/>
        </w:trPr>
        <w:tc>
          <w:tcPr>
            <w:tcW w:w="396" w:type="dxa"/>
            <w:vMerge/>
          </w:tcPr>
          <w:p w14:paraId="3AABB7C4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68B5A966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1C30AE09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12914C0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6B1EDB05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19C54249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  <w:vAlign w:val="center"/>
          </w:tcPr>
          <w:p w14:paraId="3F8C9A8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1011D74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 w14:paraId="177BD61F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提供网销农产品包装设计、包装规格化等电商综合性服务。</w:t>
            </w:r>
          </w:p>
        </w:tc>
        <w:tc>
          <w:tcPr>
            <w:tcW w:w="1395" w:type="dxa"/>
            <w:vAlign w:val="center"/>
          </w:tcPr>
          <w:p w14:paraId="04D22042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持续提供服务</w:t>
            </w:r>
          </w:p>
        </w:tc>
        <w:tc>
          <w:tcPr>
            <w:tcW w:w="650" w:type="dxa"/>
            <w:vMerge/>
          </w:tcPr>
          <w:p w14:paraId="0C2C31E9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5AB65757" w14:textId="77777777">
        <w:trPr>
          <w:trHeight w:val="1412"/>
        </w:trPr>
        <w:tc>
          <w:tcPr>
            <w:tcW w:w="396" w:type="dxa"/>
            <w:vMerge/>
          </w:tcPr>
          <w:p w14:paraId="4CAE1F0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4EE9C1DC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78BEFF18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524D2451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74772724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1A25899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  <w:vAlign w:val="center"/>
          </w:tcPr>
          <w:p w14:paraId="2D1D177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501AECE0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</w:tcPr>
          <w:p w14:paraId="33FE3EBE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研发溯源系统</w:t>
            </w:r>
          </w:p>
        </w:tc>
        <w:tc>
          <w:tcPr>
            <w:tcW w:w="1395" w:type="dxa"/>
          </w:tcPr>
          <w:p w14:paraId="3BB9D20B" w14:textId="77777777" w:rsidR="00E47347" w:rsidRDefault="00F67137">
            <w:pPr>
              <w:spacing w:after="0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持续建设</w:t>
            </w:r>
          </w:p>
        </w:tc>
        <w:tc>
          <w:tcPr>
            <w:tcW w:w="650" w:type="dxa"/>
            <w:vMerge/>
          </w:tcPr>
          <w:p w14:paraId="62BBD3B9" w14:textId="77777777" w:rsidR="00E47347" w:rsidRDefault="00E47347">
            <w:pPr>
              <w:spacing w:after="0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3FBF8A9A" w14:textId="77777777">
        <w:tc>
          <w:tcPr>
            <w:tcW w:w="396" w:type="dxa"/>
            <w:vMerge/>
          </w:tcPr>
          <w:p w14:paraId="20419D78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1042B78C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6A883D1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079D77C7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3F08B288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4BB5EFCF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14:paraId="1DBDC153" w14:textId="77777777" w:rsidR="00E47347" w:rsidRDefault="00F67137">
            <w:pPr>
              <w:spacing w:after="0"/>
              <w:jc w:val="center"/>
              <w:rPr>
                <w:rFonts w:ascii="黑体" w:eastAsia="黑体" w:hAnsi="黑体" w:cs="Times New Roman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建立农产品溯源体系</w:t>
            </w:r>
          </w:p>
        </w:tc>
        <w:tc>
          <w:tcPr>
            <w:tcW w:w="3896" w:type="dxa"/>
          </w:tcPr>
          <w:p w14:paraId="13AE60ED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建立县级农特产品质量追溯平台，对种植基地的农特产品建立“从农田到餐桌”的全过程质量追溯系统，完善“三品一标”、等基础数据库；开展农产品种植、加工、包装、保鲜检测、销售等关键环节的信息并集、统计分析、上传平台、产品赋码、数据维护等服务，设置系统预警，并通过互联网、手机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APP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、电话等途径发布信息，增强公众对产品的认可，实现质量可追溯、责任可追查</w:t>
            </w:r>
          </w:p>
        </w:tc>
        <w:tc>
          <w:tcPr>
            <w:tcW w:w="3754" w:type="dxa"/>
          </w:tcPr>
          <w:p w14:paraId="23C91A6C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以</w:t>
            </w:r>
            <w:r>
              <w:rPr>
                <w:rFonts w:ascii="黑体" w:eastAsia="黑体" w:hAnsi="黑体"/>
                <w:sz w:val="15"/>
                <w:szCs w:val="15"/>
              </w:rPr>
              <w:t>《喀喇沁左翼蒙古族自治县溯源调研报告》为基础筛选出了一批适合企业，包含紫砂、陈醋、杂粮三个产业。分别是辽宁塔城陈醋酿造有限公司、喀左高品宝砂紫陶艺术研发有限公司和喀左</w:t>
            </w:r>
            <w:r>
              <w:rPr>
                <w:rFonts w:ascii="黑体" w:eastAsia="黑体" w:hAnsi="黑体"/>
                <w:sz w:val="15"/>
                <w:szCs w:val="15"/>
              </w:rPr>
              <w:t>县凌河牧鸭基地辽西特产开发中心。与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首批</w:t>
            </w:r>
            <w:r>
              <w:rPr>
                <w:rFonts w:ascii="黑体" w:eastAsia="黑体" w:hAnsi="黑体"/>
                <w:sz w:val="15"/>
                <w:szCs w:val="15"/>
              </w:rPr>
              <w:t>选定企业签订了溯源合作承诺书，各参与溯源企业积极配合，认真进行素材采集工作。目前已收集企业溯源信息</w:t>
            </w:r>
            <w:r>
              <w:rPr>
                <w:rFonts w:ascii="黑体" w:eastAsia="黑体" w:hAnsi="黑体"/>
                <w:sz w:val="15"/>
                <w:szCs w:val="15"/>
              </w:rPr>
              <w:t>8</w:t>
            </w:r>
            <w:r>
              <w:rPr>
                <w:rFonts w:ascii="黑体" w:eastAsia="黑体" w:hAnsi="黑体"/>
                <w:sz w:val="15"/>
                <w:szCs w:val="15"/>
              </w:rPr>
              <w:t>个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。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11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月调研完毕，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22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个乡镇的农特产品，开始准备搭建数据库系统</w:t>
            </w:r>
          </w:p>
        </w:tc>
        <w:tc>
          <w:tcPr>
            <w:tcW w:w="1395" w:type="dxa"/>
          </w:tcPr>
          <w:p w14:paraId="75076F28" w14:textId="77777777" w:rsidR="00E47347" w:rsidRDefault="00F67137">
            <w:pPr>
              <w:spacing w:after="0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</w:t>
            </w:r>
          </w:p>
          <w:p w14:paraId="39404E23" w14:textId="77777777" w:rsidR="00E47347" w:rsidRDefault="00F67137">
            <w:pPr>
              <w:spacing w:after="0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数据库完成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50%</w:t>
            </w:r>
          </w:p>
        </w:tc>
        <w:tc>
          <w:tcPr>
            <w:tcW w:w="650" w:type="dxa"/>
          </w:tcPr>
          <w:p w14:paraId="73027140" w14:textId="77777777" w:rsidR="00E47347" w:rsidRDefault="00F67137">
            <w:pPr>
              <w:spacing w:after="0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</w:t>
            </w:r>
          </w:p>
        </w:tc>
      </w:tr>
      <w:tr w:rsidR="00E47347" w14:paraId="286B1B31" w14:textId="77777777">
        <w:trPr>
          <w:trHeight w:val="3531"/>
        </w:trPr>
        <w:tc>
          <w:tcPr>
            <w:tcW w:w="396" w:type="dxa"/>
            <w:vMerge/>
          </w:tcPr>
          <w:p w14:paraId="32351495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39635B6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33B6CFB2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074A9F82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54D5E869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2D41E81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14:paraId="5471ECC2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农特产品品牌培育</w:t>
            </w:r>
          </w:p>
        </w:tc>
        <w:tc>
          <w:tcPr>
            <w:tcW w:w="3896" w:type="dxa"/>
          </w:tcPr>
          <w:p w14:paraId="3194BAF9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结合喀左县农特产品特色，以喀左紫砂、喀左陈醋、喀左杂粮等国家地理标志产品为主，培育喀左县区域公共品牌，提升农户和涉农企业的品牌意识，提高质量管理水平，打造精品名牌；按照“一村一品”的相关要求，实现“县有区域公用品牌、镇有特色产业、村有支柱产品”的农业农村发展新格局；加大县域名优农产品和旅游产品的品牌宣传、培育力度，组织主题电商运营活动，结合本地特点，进行区域品牌整体营销，打造网红农产品，提升本地产品品牌整体影响力以及核心竞争力，以品牌建设补齐上行短板，把优质产品资源转化为市场价值</w:t>
            </w:r>
          </w:p>
        </w:tc>
        <w:tc>
          <w:tcPr>
            <w:tcW w:w="3754" w:type="dxa"/>
            <w:vAlign w:val="center"/>
          </w:tcPr>
          <w:p w14:paraId="31D5BCE6" w14:textId="77777777" w:rsidR="00E47347" w:rsidRDefault="00F67137">
            <w:pPr>
              <w:spacing w:after="0"/>
              <w:rPr>
                <w:rFonts w:ascii="黑体" w:eastAsia="黑体" w:hAnsi="黑体" w:cs="Times New Roman"/>
                <w:sz w:val="15"/>
                <w:szCs w:val="15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提交品牌战略方案以及关于区</w:t>
            </w: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域公共品牌的创意提案，包括喀左区域公共品牌</w:t>
            </w: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logo</w:t>
            </w: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；陈醋产品</w:t>
            </w: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logo</w:t>
            </w: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及应用、紫砂产品</w:t>
            </w: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logo</w:t>
            </w: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及应用、杂粮</w:t>
            </w: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logo</w:t>
            </w: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及应用；产品</w:t>
            </w: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vi</w:t>
            </w: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手册和</w:t>
            </w: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ip</w:t>
            </w:r>
            <w:r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形象</w:t>
            </w:r>
          </w:p>
        </w:tc>
        <w:tc>
          <w:tcPr>
            <w:tcW w:w="1395" w:type="dxa"/>
          </w:tcPr>
          <w:p w14:paraId="6FBC803E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2D90CFAC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277BCAC9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531F3791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6FA39881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721E7D1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16B2528C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5215815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  <w:p w14:paraId="1E0F3D66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</w:t>
            </w:r>
          </w:p>
          <w:p w14:paraId="49B32947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650" w:type="dxa"/>
          </w:tcPr>
          <w:p w14:paraId="79435D9C" w14:textId="77777777" w:rsidR="00E47347" w:rsidRDefault="00F67137">
            <w:pPr>
              <w:spacing w:after="0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</w:t>
            </w:r>
          </w:p>
        </w:tc>
      </w:tr>
      <w:tr w:rsidR="00E47347" w14:paraId="54F48A70" w14:textId="77777777">
        <w:trPr>
          <w:trHeight w:val="838"/>
        </w:trPr>
        <w:tc>
          <w:tcPr>
            <w:tcW w:w="396" w:type="dxa"/>
            <w:vMerge/>
          </w:tcPr>
          <w:p w14:paraId="2FFEE179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601C9B0C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 w14:paraId="44750F20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5</w:t>
            </w:r>
          </w:p>
        </w:tc>
        <w:tc>
          <w:tcPr>
            <w:tcW w:w="841" w:type="dxa"/>
            <w:vMerge w:val="restart"/>
          </w:tcPr>
          <w:p w14:paraId="59D20A74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县级电商服务中心</w:t>
            </w:r>
          </w:p>
        </w:tc>
        <w:tc>
          <w:tcPr>
            <w:tcW w:w="884" w:type="dxa"/>
            <w:vMerge w:val="restart"/>
          </w:tcPr>
          <w:p w14:paraId="69E7D716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2019-2022</w:t>
            </w:r>
          </w:p>
        </w:tc>
        <w:tc>
          <w:tcPr>
            <w:tcW w:w="802" w:type="dxa"/>
            <w:vMerge w:val="restart"/>
          </w:tcPr>
          <w:p w14:paraId="7E3343C0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225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万元</w:t>
            </w:r>
          </w:p>
        </w:tc>
        <w:tc>
          <w:tcPr>
            <w:tcW w:w="708" w:type="dxa"/>
            <w:vMerge w:val="restart"/>
          </w:tcPr>
          <w:p w14:paraId="0FBB1803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县级电子商务公共服务中心建设。</w:t>
            </w:r>
          </w:p>
        </w:tc>
        <w:tc>
          <w:tcPr>
            <w:tcW w:w="3896" w:type="dxa"/>
            <w:vMerge w:val="restart"/>
          </w:tcPr>
          <w:p w14:paraId="1794D6ED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升级改造喀左县电子商务公共服务中心。设置农产品展示展销体验中心、众创空间和企业孵化中心、大数据中心、培训中心、摄影和直播中心、农产品质量追溯中心、乡（镇）、村级（社区）服务站点运营管理中心、电商精准扶贫运营中心、跨境电商中心九大功能区域；公共服务中心设施进行统一采购，具备为全市企业、农户、个人提供规范的农村电子商务公共服务；依托公共服务中心实现优势资源的对接与整合，建立和完善电商办事服务“绿色通道”，公开办事流程和办结时限，简化办事程序，不断完善服务、扶助功能</w:t>
            </w:r>
          </w:p>
        </w:tc>
        <w:tc>
          <w:tcPr>
            <w:tcW w:w="3754" w:type="dxa"/>
          </w:tcPr>
          <w:p w14:paraId="4405FF8A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大数据中心系统研发完毕，大数据中心系统运行正常，数据录入工作进行中</w:t>
            </w:r>
          </w:p>
        </w:tc>
        <w:tc>
          <w:tcPr>
            <w:tcW w:w="1395" w:type="dxa"/>
            <w:vAlign w:val="center"/>
          </w:tcPr>
          <w:p w14:paraId="352928E0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持续跟进</w:t>
            </w:r>
          </w:p>
        </w:tc>
        <w:tc>
          <w:tcPr>
            <w:tcW w:w="650" w:type="dxa"/>
            <w:vMerge w:val="restart"/>
          </w:tcPr>
          <w:p w14:paraId="0711E7C1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</w:t>
            </w:r>
          </w:p>
        </w:tc>
      </w:tr>
      <w:tr w:rsidR="00E47347" w14:paraId="5A9DFDB5" w14:textId="77777777">
        <w:trPr>
          <w:trHeight w:val="1402"/>
        </w:trPr>
        <w:tc>
          <w:tcPr>
            <w:tcW w:w="396" w:type="dxa"/>
            <w:vMerge/>
          </w:tcPr>
          <w:p w14:paraId="446FD4C9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114304A7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53164825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18DA863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125CA0F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0698C0B0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14:paraId="2D24CAF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778A89C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</w:tcPr>
          <w:p w14:paraId="18D50F75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办公设备购买，消费扶贫产品线下体验馆、农产品展示区、众创空间、茶吧、接待休闲区、产品拍摄区、路演区、电教室、培训室、会议室、洽谈室、档案室、网红直播间、质量检测区、产品追溯中心、电商精准扶贫中心、大数据展示中心、员工办公室等区域建设。</w:t>
            </w:r>
          </w:p>
        </w:tc>
        <w:tc>
          <w:tcPr>
            <w:tcW w:w="1395" w:type="dxa"/>
            <w:vAlign w:val="center"/>
          </w:tcPr>
          <w:p w14:paraId="40BEC5C2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6</w:t>
            </w:r>
            <w:r>
              <w:rPr>
                <w:rFonts w:ascii="黑体" w:eastAsia="黑体" w:hAnsi="黑体"/>
                <w:sz w:val="15"/>
                <w:szCs w:val="15"/>
              </w:rPr>
              <w:t>0%</w:t>
            </w:r>
          </w:p>
        </w:tc>
        <w:tc>
          <w:tcPr>
            <w:tcW w:w="650" w:type="dxa"/>
            <w:vMerge/>
          </w:tcPr>
          <w:p w14:paraId="71B57D8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3C15437F" w14:textId="77777777">
        <w:trPr>
          <w:trHeight w:val="841"/>
        </w:trPr>
        <w:tc>
          <w:tcPr>
            <w:tcW w:w="396" w:type="dxa"/>
            <w:vMerge/>
          </w:tcPr>
          <w:p w14:paraId="7A1AFC37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784AC6A8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67B424D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04F58DFE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5B550CD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68DB279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14:paraId="3A8BAE1E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1BA386F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</w:tcPr>
          <w:p w14:paraId="6B7CC7C8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开展意向入驻电商企业相关的信息登记、沙龙交流会、参观学习、技能培训等活动；会议组织；日常接待；电商咨询服务；</w:t>
            </w:r>
          </w:p>
        </w:tc>
        <w:tc>
          <w:tcPr>
            <w:tcW w:w="1395" w:type="dxa"/>
            <w:vAlign w:val="center"/>
          </w:tcPr>
          <w:p w14:paraId="2D0923A4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持续开展相关活动</w:t>
            </w:r>
          </w:p>
        </w:tc>
        <w:tc>
          <w:tcPr>
            <w:tcW w:w="650" w:type="dxa"/>
            <w:vMerge/>
          </w:tcPr>
          <w:p w14:paraId="52A91847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3765B212" w14:textId="77777777">
        <w:trPr>
          <w:trHeight w:val="560"/>
        </w:trPr>
        <w:tc>
          <w:tcPr>
            <w:tcW w:w="396" w:type="dxa"/>
            <w:vMerge/>
          </w:tcPr>
          <w:p w14:paraId="16CB219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09D4C8D8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4329CD47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35B4E939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7863EDA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2CA1C1A4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14:paraId="548E889E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7B1BFFA5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</w:tcPr>
          <w:p w14:paraId="7C2B4C82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中心软装设计与施工</w:t>
            </w:r>
          </w:p>
        </w:tc>
        <w:tc>
          <w:tcPr>
            <w:tcW w:w="1395" w:type="dxa"/>
            <w:vAlign w:val="center"/>
          </w:tcPr>
          <w:p w14:paraId="242302E7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7</w:t>
            </w:r>
            <w:r>
              <w:rPr>
                <w:rFonts w:ascii="黑体" w:eastAsia="黑体" w:hAnsi="黑体"/>
                <w:sz w:val="15"/>
                <w:szCs w:val="15"/>
              </w:rPr>
              <w:t>0%</w:t>
            </w:r>
          </w:p>
        </w:tc>
        <w:tc>
          <w:tcPr>
            <w:tcW w:w="650" w:type="dxa"/>
            <w:vMerge/>
          </w:tcPr>
          <w:p w14:paraId="6E330C24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5F3116FC" w14:textId="77777777">
        <w:trPr>
          <w:trHeight w:val="560"/>
        </w:trPr>
        <w:tc>
          <w:tcPr>
            <w:tcW w:w="396" w:type="dxa"/>
            <w:vMerge/>
          </w:tcPr>
          <w:p w14:paraId="536D3315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1F4D7E9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7AFEA8D7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16A04A9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1E59B6A8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72C108E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14:paraId="728020E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387BD9D2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</w:tcPr>
          <w:p w14:paraId="02603046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服务中心软装设计；完成电商企业孵化方案；电商创业企业入驻孵化招募工作全媒体宣传；会议组织；日常接待；电商咨询服务；</w:t>
            </w:r>
          </w:p>
        </w:tc>
        <w:tc>
          <w:tcPr>
            <w:tcW w:w="1395" w:type="dxa"/>
            <w:vAlign w:val="center"/>
          </w:tcPr>
          <w:p w14:paraId="3F289EE2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持续推进</w:t>
            </w:r>
          </w:p>
        </w:tc>
        <w:tc>
          <w:tcPr>
            <w:tcW w:w="650" w:type="dxa"/>
            <w:vMerge/>
          </w:tcPr>
          <w:p w14:paraId="1464197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3D3B79FE" w14:textId="77777777">
        <w:tc>
          <w:tcPr>
            <w:tcW w:w="396" w:type="dxa"/>
            <w:vMerge/>
          </w:tcPr>
          <w:p w14:paraId="794BA2F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65B7499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</w:tcPr>
          <w:p w14:paraId="438E6BA3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</w:tcPr>
          <w:p w14:paraId="49C420E2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</w:tcPr>
          <w:p w14:paraId="042E61AF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</w:tcPr>
          <w:p w14:paraId="0266396A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</w:tcPr>
          <w:p w14:paraId="26B54BE2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电子商务公共服务系统建设。</w:t>
            </w:r>
          </w:p>
        </w:tc>
        <w:tc>
          <w:tcPr>
            <w:tcW w:w="3896" w:type="dxa"/>
          </w:tcPr>
          <w:p w14:paraId="142CF5AC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统一流量入口，实现优势资源的对接和整合，提升整体电商实力，促进电商企业集群发展，建设电子商务大数据系统，集电商交易数据、电商站点、电商培训、企业孵化、电商扶贫等信息展示，为政府、企业、网点、消费者提供展示、信息、交易、管理、分析等功能服务</w:t>
            </w:r>
          </w:p>
        </w:tc>
        <w:tc>
          <w:tcPr>
            <w:tcW w:w="3754" w:type="dxa"/>
          </w:tcPr>
          <w:p w14:paraId="1BD9866D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完成喀左县电子商务公共服务中心系统及大数据中心搭建工作。在喀左县人民政府网站政务公开开设公式专区，对项目进度进行公示。</w:t>
            </w:r>
          </w:p>
        </w:tc>
        <w:tc>
          <w:tcPr>
            <w:tcW w:w="1395" w:type="dxa"/>
          </w:tcPr>
          <w:p w14:paraId="0306CD42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持续进行</w:t>
            </w:r>
            <w:r>
              <w:rPr>
                <w:rFonts w:ascii="黑体" w:eastAsia="黑体" w:hAnsi="黑体" w:hint="eastAsia"/>
                <w:sz w:val="15"/>
                <w:szCs w:val="15"/>
              </w:rPr>
              <w:br/>
            </w:r>
            <w:r>
              <w:rPr>
                <w:rFonts w:ascii="黑体" w:eastAsia="黑体" w:hAnsi="黑体" w:hint="eastAsia"/>
                <w:sz w:val="15"/>
                <w:szCs w:val="15"/>
              </w:rPr>
              <w:t>公开公示</w:t>
            </w:r>
          </w:p>
          <w:p w14:paraId="36FCFF4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650" w:type="dxa"/>
          </w:tcPr>
          <w:p w14:paraId="22DAC16F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5EA46103" w14:textId="77777777">
        <w:trPr>
          <w:trHeight w:val="930"/>
        </w:trPr>
        <w:tc>
          <w:tcPr>
            <w:tcW w:w="396" w:type="dxa"/>
            <w:vMerge/>
          </w:tcPr>
          <w:p w14:paraId="2DC3E7B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4F9DBE55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 w14:paraId="719BB511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6</w:t>
            </w:r>
          </w:p>
        </w:tc>
        <w:tc>
          <w:tcPr>
            <w:tcW w:w="841" w:type="dxa"/>
            <w:vMerge w:val="restart"/>
          </w:tcPr>
          <w:p w14:paraId="7D7E467B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农产品电商营销体系</w:t>
            </w:r>
          </w:p>
        </w:tc>
        <w:tc>
          <w:tcPr>
            <w:tcW w:w="884" w:type="dxa"/>
            <w:vMerge w:val="restart"/>
          </w:tcPr>
          <w:p w14:paraId="7062DFE1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2019-2022</w:t>
            </w:r>
          </w:p>
        </w:tc>
        <w:tc>
          <w:tcPr>
            <w:tcW w:w="802" w:type="dxa"/>
            <w:vMerge w:val="restart"/>
          </w:tcPr>
          <w:p w14:paraId="1C33BD0B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225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万元</w:t>
            </w:r>
          </w:p>
        </w:tc>
        <w:tc>
          <w:tcPr>
            <w:tcW w:w="708" w:type="dxa"/>
            <w:vMerge w:val="restart"/>
          </w:tcPr>
          <w:p w14:paraId="07E7FDAE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农产品营销体系建设</w:t>
            </w:r>
          </w:p>
        </w:tc>
        <w:tc>
          <w:tcPr>
            <w:tcW w:w="3896" w:type="dxa"/>
            <w:vMerge w:val="restart"/>
          </w:tcPr>
          <w:p w14:paraId="69FBB5E7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借助电商渠道和网络优势，把农产品资源“引流上线”，打通农产品进城的流通渠道，促进电子商务平台向农村延伸，加快农产品传统市场向现代综合交易市场的转型升级；依托淘宝、拼多多等第三方综合电商平台，开设地方特色馆；带动农业中小企业、农民合作社和农业经纪人等开展农产品网上销售业务。组织新型农业经营主体与大型电商平台开展深度对接活动，支持名特优、“三品一标”农产品和乡村旅游资源入驻电商平台；开展喀左县特色优质农产品网上销售活动，促进喀左农产品上行。</w:t>
            </w:r>
          </w:p>
        </w:tc>
        <w:tc>
          <w:tcPr>
            <w:tcW w:w="3754" w:type="dxa"/>
            <w:vAlign w:val="center"/>
          </w:tcPr>
          <w:p w14:paraId="787E59DF" w14:textId="77777777" w:rsidR="00E47347" w:rsidRDefault="00F67137">
            <w:pPr>
              <w:spacing w:after="0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持续走访企业、合作社。与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5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家企业签订商品入驻合同及质量保证协议。</w:t>
            </w:r>
          </w:p>
        </w:tc>
        <w:tc>
          <w:tcPr>
            <w:tcW w:w="1395" w:type="dxa"/>
            <w:vAlign w:val="center"/>
          </w:tcPr>
          <w:p w14:paraId="224AC2FD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开展工作</w:t>
            </w:r>
          </w:p>
        </w:tc>
        <w:tc>
          <w:tcPr>
            <w:tcW w:w="650" w:type="dxa"/>
            <w:vMerge w:val="restart"/>
          </w:tcPr>
          <w:p w14:paraId="29272ADE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0CB6D436" w14:textId="77777777">
        <w:trPr>
          <w:trHeight w:val="1425"/>
        </w:trPr>
        <w:tc>
          <w:tcPr>
            <w:tcW w:w="396" w:type="dxa"/>
            <w:vMerge/>
          </w:tcPr>
          <w:p w14:paraId="632A8C2D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72507D40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14E1F777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3BDF4368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7F29C8F1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010EAF6E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14:paraId="2B6CB567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0477EADE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 w14:paraId="0779F957" w14:textId="77777777" w:rsidR="00E47347" w:rsidRDefault="00F67137">
            <w:pPr>
              <w:spacing w:after="0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注册淘宝、拼多多、微店等线上店铺，待审核中。</w:t>
            </w:r>
          </w:p>
        </w:tc>
        <w:tc>
          <w:tcPr>
            <w:tcW w:w="1395" w:type="dxa"/>
            <w:vAlign w:val="center"/>
          </w:tcPr>
          <w:p w14:paraId="6D5F40A7" w14:textId="77777777" w:rsidR="00E47347" w:rsidRDefault="00F6713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持续运营</w:t>
            </w:r>
          </w:p>
        </w:tc>
        <w:tc>
          <w:tcPr>
            <w:tcW w:w="650" w:type="dxa"/>
            <w:vMerge/>
          </w:tcPr>
          <w:p w14:paraId="7A403825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  <w:tr w:rsidR="00E47347" w14:paraId="0C1E6B2A" w14:textId="77777777">
        <w:trPr>
          <w:trHeight w:val="1365"/>
        </w:trPr>
        <w:tc>
          <w:tcPr>
            <w:tcW w:w="396" w:type="dxa"/>
            <w:vMerge/>
          </w:tcPr>
          <w:p w14:paraId="5CF7DD54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2BF2C4D2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424" w:type="dxa"/>
            <w:vMerge/>
          </w:tcPr>
          <w:p w14:paraId="1B7575F2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41" w:type="dxa"/>
            <w:vMerge/>
          </w:tcPr>
          <w:p w14:paraId="043A8D99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84" w:type="dxa"/>
            <w:vMerge/>
          </w:tcPr>
          <w:p w14:paraId="5556E166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802" w:type="dxa"/>
            <w:vMerge/>
          </w:tcPr>
          <w:p w14:paraId="0111F674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14:paraId="29285EF0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96" w:type="dxa"/>
            <w:vMerge/>
          </w:tcPr>
          <w:p w14:paraId="0CCEE9C5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 w14:paraId="78EADB9B" w14:textId="77777777" w:rsidR="00E47347" w:rsidRDefault="00E47347">
            <w:pPr>
              <w:spacing w:after="0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1395" w:type="dxa"/>
            <w:vAlign w:val="center"/>
          </w:tcPr>
          <w:p w14:paraId="64F7B1DE" w14:textId="77777777" w:rsidR="00E47347" w:rsidRDefault="00E47347">
            <w:pPr>
              <w:spacing w:after="0"/>
              <w:jc w:val="both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650" w:type="dxa"/>
            <w:vMerge/>
          </w:tcPr>
          <w:p w14:paraId="0D6F911B" w14:textId="77777777" w:rsidR="00E47347" w:rsidRDefault="00E47347">
            <w:pPr>
              <w:spacing w:after="0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</w:tr>
    </w:tbl>
    <w:p w14:paraId="0601E023" w14:textId="77777777" w:rsidR="00E47347" w:rsidRDefault="00E47347">
      <w:pPr>
        <w:adjustRightInd/>
        <w:snapToGrid/>
        <w:spacing w:after="0"/>
        <w:rPr>
          <w:rFonts w:ascii="Segoe UI" w:eastAsia="宋体" w:hAnsi="Segoe UI" w:cs="Segoe UI"/>
          <w:b/>
          <w:bCs/>
          <w:color w:val="333333"/>
          <w:sz w:val="24"/>
          <w:szCs w:val="24"/>
        </w:rPr>
      </w:pPr>
    </w:p>
    <w:p w14:paraId="110042D5" w14:textId="77777777" w:rsidR="00E47347" w:rsidRDefault="00E47347">
      <w:pPr>
        <w:spacing w:line="220" w:lineRule="atLeast"/>
      </w:pPr>
    </w:p>
    <w:p w14:paraId="5210ADFC" w14:textId="77777777" w:rsidR="00E47347" w:rsidRDefault="00E47347">
      <w:pPr>
        <w:spacing w:line="220" w:lineRule="atLeast"/>
      </w:pPr>
    </w:p>
    <w:p w14:paraId="64EF76C2" w14:textId="77777777" w:rsidR="00E47347" w:rsidRDefault="00E47347">
      <w:pPr>
        <w:spacing w:line="220" w:lineRule="atLeast"/>
      </w:pPr>
    </w:p>
    <w:p w14:paraId="51ABE4FD" w14:textId="77777777" w:rsidR="00E47347" w:rsidRDefault="00E47347">
      <w:pPr>
        <w:spacing w:line="220" w:lineRule="atLeast"/>
      </w:pPr>
    </w:p>
    <w:p w14:paraId="4A7CA90F" w14:textId="77777777" w:rsidR="00E47347" w:rsidRDefault="00E47347">
      <w:pPr>
        <w:spacing w:line="220" w:lineRule="atLeast"/>
      </w:pPr>
    </w:p>
    <w:p w14:paraId="2B6E748D" w14:textId="77777777" w:rsidR="00E47347" w:rsidRDefault="00E47347">
      <w:pPr>
        <w:spacing w:line="220" w:lineRule="atLeast"/>
      </w:pPr>
    </w:p>
    <w:p w14:paraId="4779FF5E" w14:textId="77777777" w:rsidR="00E47347" w:rsidRDefault="00E47347">
      <w:pPr>
        <w:spacing w:line="220" w:lineRule="atLeast"/>
      </w:pPr>
    </w:p>
    <w:p w14:paraId="2E469131" w14:textId="77777777" w:rsidR="00E47347" w:rsidRDefault="00E47347">
      <w:pPr>
        <w:spacing w:line="220" w:lineRule="atLeast"/>
      </w:pPr>
    </w:p>
    <w:p w14:paraId="643CC8AF" w14:textId="77777777" w:rsidR="00E47347" w:rsidRDefault="00E47347">
      <w:pPr>
        <w:spacing w:line="220" w:lineRule="atLeast"/>
      </w:pPr>
    </w:p>
    <w:p w14:paraId="0AEBD125" w14:textId="77777777" w:rsidR="00E47347" w:rsidRDefault="00E47347">
      <w:pPr>
        <w:spacing w:line="220" w:lineRule="atLeast"/>
      </w:pPr>
    </w:p>
    <w:p w14:paraId="13C33DAE" w14:textId="77777777" w:rsidR="00E47347" w:rsidRDefault="00E47347">
      <w:pPr>
        <w:spacing w:line="220" w:lineRule="atLeast"/>
      </w:pPr>
    </w:p>
    <w:sectPr w:rsidR="00E4734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C61F" w14:textId="77777777" w:rsidR="00F67137" w:rsidRDefault="00F67137">
      <w:pPr>
        <w:spacing w:after="0"/>
      </w:pPr>
      <w:r>
        <w:separator/>
      </w:r>
    </w:p>
  </w:endnote>
  <w:endnote w:type="continuationSeparator" w:id="0">
    <w:p w14:paraId="6CA668F2" w14:textId="77777777" w:rsidR="00F67137" w:rsidRDefault="00F671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37C10" w14:textId="77777777" w:rsidR="00F67137" w:rsidRDefault="00F67137">
      <w:pPr>
        <w:spacing w:after="0"/>
      </w:pPr>
      <w:r>
        <w:separator/>
      </w:r>
    </w:p>
  </w:footnote>
  <w:footnote w:type="continuationSeparator" w:id="0">
    <w:p w14:paraId="223EB0B1" w14:textId="77777777" w:rsidR="00F67137" w:rsidRDefault="00F671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1F514F"/>
    <w:rsid w:val="00251260"/>
    <w:rsid w:val="00275668"/>
    <w:rsid w:val="00323B43"/>
    <w:rsid w:val="003D37D8"/>
    <w:rsid w:val="00426133"/>
    <w:rsid w:val="004358AB"/>
    <w:rsid w:val="00546868"/>
    <w:rsid w:val="0056046C"/>
    <w:rsid w:val="0079205B"/>
    <w:rsid w:val="008B7726"/>
    <w:rsid w:val="009C074A"/>
    <w:rsid w:val="009E62AF"/>
    <w:rsid w:val="009E64A8"/>
    <w:rsid w:val="00A34DA8"/>
    <w:rsid w:val="00AC68AC"/>
    <w:rsid w:val="00AD36C5"/>
    <w:rsid w:val="00AD6A35"/>
    <w:rsid w:val="00B76A07"/>
    <w:rsid w:val="00C93A8D"/>
    <w:rsid w:val="00D31D50"/>
    <w:rsid w:val="00E33437"/>
    <w:rsid w:val="00E47347"/>
    <w:rsid w:val="00E5359C"/>
    <w:rsid w:val="00F67137"/>
    <w:rsid w:val="00FA7358"/>
    <w:rsid w:val="00FB220D"/>
    <w:rsid w:val="09555B7C"/>
    <w:rsid w:val="1A371281"/>
    <w:rsid w:val="32B70C7E"/>
    <w:rsid w:val="336956AB"/>
    <w:rsid w:val="6149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97582"/>
  <w15:docId w15:val="{D3B840BA-55E9-4089-98A1-67E3D7C8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赵 daniel</cp:lastModifiedBy>
  <cp:revision>3</cp:revision>
  <dcterms:created xsi:type="dcterms:W3CDTF">2021-04-13T08:18:00Z</dcterms:created>
  <dcterms:modified xsi:type="dcterms:W3CDTF">2023-02-21T06:19:00Z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A4E5EA575A0D431B841B888C4A24FA30</vt:lpwstr>
  </property>
</Properties>
</file>